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1EECC" w14:textId="77777777" w:rsidR="003A0A18" w:rsidRDefault="003A0A18" w:rsidP="003A0A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Klášterská Lhota</w:t>
      </w:r>
    </w:p>
    <w:p w14:paraId="6BB2E53E" w14:textId="59433EB5" w:rsidR="003A0A18" w:rsidRDefault="00665B95" w:rsidP="003A0A18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28A8E4D" wp14:editId="6D72696C">
            <wp:simplePos x="0" y="0"/>
            <wp:positionH relativeFrom="column">
              <wp:posOffset>2644140</wp:posOffset>
            </wp:positionH>
            <wp:positionV relativeFrom="paragraph">
              <wp:posOffset>181610</wp:posOffset>
            </wp:positionV>
            <wp:extent cx="523875" cy="608330"/>
            <wp:effectExtent l="0" t="0" r="9525" b="1270"/>
            <wp:wrapNone/>
            <wp:docPr id="3" name="Obrázek 1" descr="Znak obce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náv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A18">
        <w:rPr>
          <w:rFonts w:ascii="Arial" w:hAnsi="Arial" w:cs="Arial"/>
          <w:b/>
        </w:rPr>
        <w:t>Zastupitelstvo obce</w:t>
      </w:r>
    </w:p>
    <w:p w14:paraId="49117342" w14:textId="77777777" w:rsidR="003A0A18" w:rsidRDefault="003A0A18" w:rsidP="003A0A18">
      <w:pPr>
        <w:spacing w:line="276" w:lineRule="auto"/>
        <w:jc w:val="center"/>
        <w:rPr>
          <w:rFonts w:ascii="Arial" w:hAnsi="Arial" w:cs="Arial"/>
          <w:b/>
        </w:rPr>
      </w:pPr>
    </w:p>
    <w:p w14:paraId="3D7F8F02" w14:textId="77777777" w:rsidR="003A0A18" w:rsidRDefault="003A0A18" w:rsidP="003A0A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19E0602" w14:textId="77777777" w:rsidR="003A0A18" w:rsidRDefault="003A0A18" w:rsidP="003A0A18">
      <w:pPr>
        <w:spacing w:line="276" w:lineRule="auto"/>
        <w:jc w:val="center"/>
        <w:rPr>
          <w:rFonts w:ascii="Arial" w:hAnsi="Arial" w:cs="Arial"/>
          <w:b/>
        </w:rPr>
      </w:pPr>
    </w:p>
    <w:p w14:paraId="6083D119" w14:textId="3D712049" w:rsidR="003A0A18" w:rsidRDefault="003A0A18" w:rsidP="003A0A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013EC7CE" w:rsidR="008F0DA9" w:rsidRDefault="008F0DA9" w:rsidP="003A0A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C2F4AB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A0A18">
        <w:rPr>
          <w:rFonts w:ascii="Arial" w:hAnsi="Arial" w:cs="Arial"/>
          <w:sz w:val="22"/>
          <w:szCs w:val="22"/>
        </w:rPr>
        <w:t>Klášterská Lhota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742F2">
        <w:rPr>
          <w:rFonts w:ascii="Arial" w:hAnsi="Arial" w:cs="Arial"/>
          <w:sz w:val="22"/>
          <w:szCs w:val="22"/>
        </w:rPr>
        <w:t xml:space="preserve">19. 10. </w:t>
      </w:r>
      <w:bookmarkStart w:id="0" w:name="_GoBack"/>
      <w:bookmarkEnd w:id="0"/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1D53D4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A0A18">
        <w:rPr>
          <w:rFonts w:ascii="Arial" w:hAnsi="Arial" w:cs="Arial"/>
          <w:sz w:val="22"/>
          <w:szCs w:val="22"/>
        </w:rPr>
        <w:t>Klášterská Lhota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ED9FA5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A0A18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C3C29D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3A0A18">
        <w:rPr>
          <w:rFonts w:ascii="Arial" w:hAnsi="Arial" w:cs="Arial"/>
          <w:sz w:val="22"/>
          <w:szCs w:val="22"/>
        </w:rPr>
        <w:t xml:space="preserve">ovinen tuto změnu oznámit do 15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69E82EC" w14:textId="77777777" w:rsidR="007A54FD" w:rsidRDefault="007A54FD" w:rsidP="007A54F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A119B89" w14:textId="0149E090" w:rsidR="007A54FD" w:rsidRPr="004035A7" w:rsidRDefault="007A54FD" w:rsidP="007A54FD">
      <w:pPr>
        <w:numPr>
          <w:ilvl w:val="1"/>
          <w:numId w:val="6"/>
        </w:numPr>
        <w:tabs>
          <w:tab w:val="clear" w:pos="880"/>
          <w:tab w:val="num" w:pos="1021"/>
        </w:tabs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A54FD">
        <w:rPr>
          <w:rFonts w:ascii="Arial" w:hAnsi="Arial" w:cs="Arial"/>
          <w:b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50889DBA" w14:textId="70256D62" w:rsidR="007A54FD" w:rsidRPr="004035A7" w:rsidRDefault="007A54FD" w:rsidP="007A54FD">
      <w:pPr>
        <w:numPr>
          <w:ilvl w:val="1"/>
          <w:numId w:val="6"/>
        </w:numPr>
        <w:tabs>
          <w:tab w:val="clear" w:pos="880"/>
          <w:tab w:val="num" w:pos="1021"/>
        </w:tabs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A54FD">
        <w:rPr>
          <w:rFonts w:ascii="Arial" w:hAnsi="Arial" w:cs="Arial"/>
          <w:b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417C2F0" w14:textId="068AC084" w:rsidR="007A54FD" w:rsidRDefault="007A54FD" w:rsidP="007A54FD">
      <w:pPr>
        <w:numPr>
          <w:ilvl w:val="1"/>
          <w:numId w:val="6"/>
        </w:numPr>
        <w:tabs>
          <w:tab w:val="clear" w:pos="880"/>
          <w:tab w:val="num" w:pos="1021"/>
        </w:tabs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82B77">
        <w:rPr>
          <w:rFonts w:ascii="Arial" w:hAnsi="Arial" w:cs="Arial"/>
          <w:sz w:val="22"/>
          <w:szCs w:val="22"/>
        </w:rPr>
        <w:t xml:space="preserve">  </w:t>
      </w:r>
      <w:r w:rsidR="00F82B77" w:rsidRPr="00F82B77">
        <w:rPr>
          <w:rFonts w:ascii="Arial" w:hAnsi="Arial" w:cs="Arial"/>
          <w:b/>
          <w:sz w:val="22"/>
          <w:szCs w:val="22"/>
        </w:rPr>
        <w:t>50</w:t>
      </w:r>
      <w:r w:rsidR="00F82B77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E9E26E9" w14:textId="0937A0E2" w:rsidR="007A54FD" w:rsidRDefault="007A54FD" w:rsidP="007A54FD">
      <w:pPr>
        <w:numPr>
          <w:ilvl w:val="1"/>
          <w:numId w:val="6"/>
        </w:numPr>
        <w:tabs>
          <w:tab w:val="clear" w:pos="880"/>
          <w:tab w:val="num" w:pos="1021"/>
        </w:tabs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</w:r>
      <w:r w:rsidR="00F82B77" w:rsidRPr="00F82B77">
        <w:rPr>
          <w:rFonts w:ascii="Arial" w:hAnsi="Arial" w:cs="Arial"/>
          <w:b/>
          <w:sz w:val="22"/>
          <w:szCs w:val="22"/>
        </w:rPr>
        <w:t>75</w:t>
      </w:r>
      <w:r w:rsidR="00F82B77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90B6FF7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3A0A18">
        <w:rPr>
          <w:rFonts w:ascii="Arial" w:hAnsi="Arial" w:cs="Arial"/>
        </w:rPr>
        <w:t>a úlevy</w:t>
      </w:r>
    </w:p>
    <w:p w14:paraId="55957C6B" w14:textId="5EA943D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1E9C7C34" w14:textId="2266C04A" w:rsidR="003A0A18" w:rsidRDefault="003A0A1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držitelům, kteří jsou poživateli starobního důchodu, a to ve výši </w:t>
      </w:r>
      <w:r w:rsidR="00AA7DB9" w:rsidRPr="00665B95"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Kč z celkové sazby poplatku za prvního psa a </w:t>
      </w:r>
      <w:r w:rsidR="00AA7DB9" w:rsidRPr="00665B95">
        <w:rPr>
          <w:rFonts w:ascii="Arial" w:hAnsi="Arial" w:cs="Arial"/>
          <w:b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 xml:space="preserve"> Kč z celkové sazby poplatku za druhého a každého dalšího psa.</w:t>
      </w:r>
    </w:p>
    <w:p w14:paraId="134F7310" w14:textId="38F42E65" w:rsidR="00893F98" w:rsidRPr="00BA5478" w:rsidRDefault="00893F98" w:rsidP="003A0A1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 xml:space="preserve"> </w:t>
      </w:r>
    </w:p>
    <w:p w14:paraId="6BAB2531" w14:textId="1DACE2E2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3A0A18">
        <w:rPr>
          <w:rFonts w:ascii="Arial" w:hAnsi="Arial" w:cs="Arial"/>
          <w:sz w:val="22"/>
          <w:szCs w:val="22"/>
        </w:rPr>
        <w:t xml:space="preserve">a úlevu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A7667E">
        <w:rPr>
          <w:rFonts w:ascii="Arial" w:hAnsi="Arial" w:cs="Arial"/>
          <w:sz w:val="22"/>
          <w:szCs w:val="22"/>
        </w:rPr>
        <w:t>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od skutečnosti </w:t>
      </w:r>
      <w:r w:rsidR="003A0A18">
        <w:rPr>
          <w:rFonts w:ascii="Arial" w:hAnsi="Arial" w:cs="Arial"/>
          <w:sz w:val="22"/>
          <w:szCs w:val="22"/>
        </w:rPr>
        <w:t>zakládající nárok na osvobození nebo úlevu.</w:t>
      </w:r>
    </w:p>
    <w:p w14:paraId="341B6A42" w14:textId="5A7D248A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="003A0A18">
        <w:rPr>
          <w:rFonts w:ascii="Arial" w:hAnsi="Arial" w:cs="Arial"/>
          <w:sz w:val="22"/>
          <w:szCs w:val="22"/>
        </w:rPr>
        <w:t xml:space="preserve"> nebo úlevu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</w:t>
      </w:r>
      <w:r w:rsidR="003A0A18">
        <w:rPr>
          <w:rFonts w:ascii="Arial" w:hAnsi="Arial" w:cs="Arial"/>
          <w:sz w:val="22"/>
          <w:szCs w:val="22"/>
        </w:rPr>
        <w:t xml:space="preserve">nebo úlevu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B7F7ECA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3A0A18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3A0A18">
        <w:rPr>
          <w:rFonts w:ascii="Arial" w:hAnsi="Arial" w:cs="Arial"/>
          <w:sz w:val="22"/>
          <w:szCs w:val="22"/>
        </w:rPr>
        <w:t xml:space="preserve"> 21. 11</w:t>
      </w:r>
      <w:r w:rsidRPr="00887C2A">
        <w:rPr>
          <w:rFonts w:ascii="Arial" w:hAnsi="Arial" w:cs="Arial"/>
          <w:sz w:val="22"/>
          <w:szCs w:val="22"/>
        </w:rPr>
        <w:t>. 2019.</w:t>
      </w:r>
    </w:p>
    <w:p w14:paraId="77670AC2" w14:textId="6A5F8469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2A08F956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3A0A18">
        <w:rPr>
          <w:rFonts w:ascii="Arial" w:hAnsi="Arial" w:cs="Arial"/>
          <w:sz w:val="22"/>
          <w:szCs w:val="22"/>
        </w:rPr>
        <w:t>Stanislav Štefan v. r.</w:t>
      </w:r>
      <w:r w:rsidR="003A0A18">
        <w:rPr>
          <w:rFonts w:ascii="Arial" w:hAnsi="Arial" w:cs="Arial"/>
          <w:sz w:val="22"/>
          <w:szCs w:val="22"/>
        </w:rPr>
        <w:tab/>
        <w:t>Ing. Lenka Krausová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044CFF91" w:rsidR="00BA5478" w:rsidRPr="00BA5478" w:rsidRDefault="003A0A1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="00BA5478" w:rsidRPr="00BA5478">
        <w:rPr>
          <w:rFonts w:ascii="Arial" w:hAnsi="Arial" w:cs="Arial"/>
          <w:sz w:val="22"/>
          <w:szCs w:val="22"/>
        </w:rPr>
        <w:t>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C1884" w14:textId="77777777" w:rsidR="009C7AA2" w:rsidRDefault="009C7AA2">
      <w:r>
        <w:separator/>
      </w:r>
    </w:p>
  </w:endnote>
  <w:endnote w:type="continuationSeparator" w:id="0">
    <w:p w14:paraId="33471D57" w14:textId="77777777" w:rsidR="009C7AA2" w:rsidRDefault="009C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48D50584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C7AA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5D07C" w14:textId="77777777" w:rsidR="009C7AA2" w:rsidRDefault="009C7AA2">
      <w:r>
        <w:separator/>
      </w:r>
    </w:p>
  </w:footnote>
  <w:footnote w:type="continuationSeparator" w:id="0">
    <w:p w14:paraId="7C4A0784" w14:textId="77777777" w:rsidR="009C7AA2" w:rsidRDefault="009C7AA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0A18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5B95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A54F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42F2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C7AA2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A7DB9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3AF4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7CB3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22343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2B77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F604-3B28-4223-8DC0-DDEFAA77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4</cp:revision>
  <cp:lastPrinted>2023-10-12T05:58:00Z</cp:lastPrinted>
  <dcterms:created xsi:type="dcterms:W3CDTF">2023-09-25T08:02:00Z</dcterms:created>
  <dcterms:modified xsi:type="dcterms:W3CDTF">2023-10-12T05:58:00Z</dcterms:modified>
</cp:coreProperties>
</file>