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8D6C2" w14:textId="015A6BEE" w:rsidR="000711A7" w:rsidRPr="00EA606E" w:rsidRDefault="00F44021" w:rsidP="000711A7">
      <w:pPr>
        <w:jc w:val="center"/>
        <w:rPr>
          <w:b/>
          <w:bCs/>
          <w:sz w:val="40"/>
          <w:szCs w:val="40"/>
        </w:rPr>
      </w:pPr>
      <w:r>
        <w:rPr>
          <w:b/>
          <w:sz w:val="40"/>
          <w:szCs w:val="40"/>
        </w:rPr>
        <w:t>M Ě S T O   R O U D N I C E   N A D   L A B E M</w:t>
      </w:r>
    </w:p>
    <w:p w14:paraId="3923B435" w14:textId="77777777" w:rsidR="000711A7" w:rsidRDefault="000711A7" w:rsidP="000711A7">
      <w:pPr>
        <w:jc w:val="center"/>
        <w:rPr>
          <w:b/>
          <w:bCs/>
        </w:rPr>
      </w:pPr>
    </w:p>
    <w:p w14:paraId="29C52607" w14:textId="02BA7287" w:rsidR="000711A7" w:rsidRPr="00E1572A" w:rsidRDefault="000711A7" w:rsidP="000711A7">
      <w:pPr>
        <w:jc w:val="center"/>
        <w:rPr>
          <w:b/>
          <w:bCs/>
          <w:sz w:val="32"/>
        </w:rPr>
      </w:pPr>
      <w:r w:rsidRPr="00E1572A">
        <w:rPr>
          <w:b/>
          <w:bCs/>
          <w:sz w:val="32"/>
        </w:rPr>
        <w:t xml:space="preserve">ZASTUPITELSTVO </w:t>
      </w:r>
      <w:r w:rsidR="00F44021">
        <w:rPr>
          <w:b/>
          <w:bCs/>
          <w:sz w:val="32"/>
        </w:rPr>
        <w:t>MĚSTA ROUDNICE NAD LABEM</w:t>
      </w:r>
      <w:r w:rsidRPr="00E1572A">
        <w:rPr>
          <w:b/>
          <w:bCs/>
          <w:sz w:val="32"/>
        </w:rPr>
        <w:t xml:space="preserve"> </w:t>
      </w:r>
    </w:p>
    <w:p w14:paraId="068087B1" w14:textId="77777777" w:rsidR="002A072E" w:rsidRPr="00C9237F" w:rsidRDefault="002A072E" w:rsidP="002A072E">
      <w:pPr>
        <w:jc w:val="center"/>
        <w:rPr>
          <w:b/>
          <w:bCs/>
        </w:rPr>
      </w:pPr>
    </w:p>
    <w:p w14:paraId="0BE23C77" w14:textId="77777777" w:rsidR="002A072E" w:rsidRPr="00C9237F" w:rsidRDefault="002A072E" w:rsidP="002A072E">
      <w:pPr>
        <w:jc w:val="center"/>
        <w:rPr>
          <w:b/>
          <w:bCs/>
          <w:sz w:val="32"/>
          <w:szCs w:val="32"/>
        </w:rPr>
      </w:pPr>
      <w:r w:rsidRPr="00C9237F">
        <w:rPr>
          <w:b/>
          <w:bCs/>
          <w:sz w:val="32"/>
          <w:szCs w:val="32"/>
        </w:rPr>
        <w:t>Obecně závazná vyhláška</w:t>
      </w:r>
    </w:p>
    <w:p w14:paraId="01364653" w14:textId="77777777" w:rsidR="002A072E" w:rsidRPr="00C9237F" w:rsidRDefault="002A072E" w:rsidP="002A072E">
      <w:pPr>
        <w:jc w:val="center"/>
        <w:rPr>
          <w:b/>
          <w:bCs/>
        </w:rPr>
      </w:pPr>
    </w:p>
    <w:p w14:paraId="1A348E42" w14:textId="77777777" w:rsidR="002A072E" w:rsidRPr="00C9237F" w:rsidRDefault="002A072E" w:rsidP="002A072E">
      <w:pPr>
        <w:keepNext/>
        <w:jc w:val="center"/>
        <w:rPr>
          <w:b/>
          <w:sz w:val="28"/>
          <w:szCs w:val="28"/>
        </w:rPr>
      </w:pPr>
      <w:r w:rsidRPr="00C9237F">
        <w:rPr>
          <w:b/>
          <w:sz w:val="28"/>
          <w:szCs w:val="28"/>
        </w:rPr>
        <w:t>o stanovení místních koeficientů pro výpočet daně z nemovitých věcí</w:t>
      </w:r>
    </w:p>
    <w:p w14:paraId="6D4244FB" w14:textId="77777777" w:rsidR="002A072E" w:rsidRPr="00B92FF1" w:rsidRDefault="002A072E" w:rsidP="002A072E">
      <w:pPr>
        <w:tabs>
          <w:tab w:val="left" w:pos="5130"/>
        </w:tabs>
        <w:rPr>
          <w:b/>
          <w:sz w:val="20"/>
          <w:szCs w:val="20"/>
        </w:rPr>
      </w:pPr>
    </w:p>
    <w:p w14:paraId="225D2FB5" w14:textId="66EC09A8" w:rsidR="002A072E" w:rsidRPr="00C9237F" w:rsidRDefault="002A072E" w:rsidP="002A072E">
      <w:pPr>
        <w:pStyle w:val="Zkladntextodsazen"/>
        <w:ind w:left="0" w:firstLine="0"/>
        <w:rPr>
          <w:i/>
        </w:rPr>
      </w:pPr>
      <w:r w:rsidRPr="00C9237F">
        <w:rPr>
          <w:i/>
        </w:rPr>
        <w:t xml:space="preserve">Zastupitelstvo </w:t>
      </w:r>
      <w:r w:rsidR="00F44021">
        <w:rPr>
          <w:i/>
        </w:rPr>
        <w:t>města Roudnice nad Labem</w:t>
      </w:r>
      <w:r w:rsidRPr="002C7DF4">
        <w:rPr>
          <w:i/>
        </w:rPr>
        <w:t xml:space="preserve"> se na svém zasedání dne </w:t>
      </w:r>
      <w:r w:rsidR="006271E2">
        <w:rPr>
          <w:i/>
        </w:rPr>
        <w:t xml:space="preserve">18. 9. </w:t>
      </w:r>
      <w:r w:rsidRPr="002C7DF4">
        <w:rPr>
          <w:i/>
        </w:rPr>
        <w:t>2024 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14:paraId="6BFBFECE" w14:textId="77777777" w:rsidR="002A072E" w:rsidRPr="00B92FF1" w:rsidRDefault="002A072E" w:rsidP="002A072E">
      <w:pPr>
        <w:jc w:val="center"/>
        <w:rPr>
          <w:b/>
          <w:sz w:val="20"/>
          <w:szCs w:val="20"/>
        </w:rPr>
      </w:pPr>
    </w:p>
    <w:p w14:paraId="3D6B0CB0" w14:textId="77777777" w:rsidR="002A072E" w:rsidRPr="00C9237F" w:rsidRDefault="002A072E" w:rsidP="002A072E">
      <w:pPr>
        <w:jc w:val="center"/>
        <w:rPr>
          <w:b/>
        </w:rPr>
      </w:pPr>
      <w:r w:rsidRPr="00C9237F">
        <w:rPr>
          <w:b/>
        </w:rPr>
        <w:t>Článek 1</w:t>
      </w:r>
    </w:p>
    <w:p w14:paraId="4ED28C7C" w14:textId="77777777" w:rsidR="002A072E" w:rsidRPr="00C9237F" w:rsidRDefault="002A072E" w:rsidP="002A072E">
      <w:pPr>
        <w:jc w:val="center"/>
        <w:outlineLvl w:val="0"/>
        <w:rPr>
          <w:b/>
        </w:rPr>
      </w:pPr>
      <w:r w:rsidRPr="00C9237F">
        <w:rPr>
          <w:b/>
        </w:rPr>
        <w:t>Místní koeficient pro obec</w:t>
      </w:r>
    </w:p>
    <w:p w14:paraId="7E6454FF" w14:textId="77777777" w:rsidR="002A072E" w:rsidRPr="00B92FF1" w:rsidRDefault="002A072E" w:rsidP="002A072E">
      <w:pPr>
        <w:jc w:val="center"/>
        <w:rPr>
          <w:b/>
          <w:sz w:val="20"/>
          <w:szCs w:val="20"/>
        </w:rPr>
      </w:pPr>
    </w:p>
    <w:p w14:paraId="6A1DC6AD" w14:textId="188FE015" w:rsidR="002A072E" w:rsidRPr="00C9237F" w:rsidRDefault="002A072E" w:rsidP="002A072E">
      <w:pPr>
        <w:tabs>
          <w:tab w:val="left" w:pos="1134"/>
        </w:tabs>
        <w:jc w:val="both"/>
      </w:pPr>
      <w:r w:rsidRPr="00C9237F">
        <w:t xml:space="preserve">Stanovuje se místní koeficient pro obec ve výši </w:t>
      </w:r>
      <w:r w:rsidR="00786100">
        <w:rPr>
          <w:b/>
          <w:bCs/>
          <w:sz w:val="28"/>
          <w:szCs w:val="28"/>
        </w:rPr>
        <w:t>2</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35BC76C" w14:textId="77777777" w:rsidR="002A072E" w:rsidRPr="00C9237F" w:rsidRDefault="002A072E" w:rsidP="002A072E">
      <w:pPr>
        <w:tabs>
          <w:tab w:val="left" w:pos="1134"/>
        </w:tabs>
      </w:pPr>
    </w:p>
    <w:p w14:paraId="42FE3547" w14:textId="77777777" w:rsidR="002A072E" w:rsidRPr="00C9237F" w:rsidRDefault="002A072E" w:rsidP="002A072E">
      <w:pPr>
        <w:jc w:val="center"/>
        <w:rPr>
          <w:b/>
        </w:rPr>
      </w:pPr>
      <w:r w:rsidRPr="00C9237F">
        <w:rPr>
          <w:b/>
        </w:rPr>
        <w:t>Článek 2</w:t>
      </w:r>
    </w:p>
    <w:p w14:paraId="2D4EC3BB" w14:textId="0C2AC03D" w:rsidR="002A072E" w:rsidRPr="00C9237F" w:rsidRDefault="002A072E" w:rsidP="002A072E">
      <w:pPr>
        <w:keepNext/>
        <w:jc w:val="center"/>
        <w:rPr>
          <w:b/>
        </w:rPr>
      </w:pPr>
      <w:r w:rsidRPr="00C9237F">
        <w:rPr>
          <w:b/>
        </w:rPr>
        <w:t>Místní koeficient pro jednotlivé skupiny nemovitých věcí</w:t>
      </w:r>
    </w:p>
    <w:p w14:paraId="41B795BB" w14:textId="77777777" w:rsidR="002A072E" w:rsidRPr="00B92FF1" w:rsidRDefault="002A072E" w:rsidP="002A072E">
      <w:pPr>
        <w:keepNext/>
        <w:jc w:val="center"/>
        <w:rPr>
          <w:b/>
          <w:sz w:val="20"/>
          <w:szCs w:val="20"/>
        </w:rPr>
      </w:pPr>
    </w:p>
    <w:p w14:paraId="37DEA465" w14:textId="38D08CBC" w:rsidR="00786100" w:rsidRDefault="00786100" w:rsidP="00F44021">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3"/>
      </w:r>
      <w:r w:rsidRPr="00706BF0">
        <w:t xml:space="preserve">, a to v následující výši: </w:t>
      </w:r>
    </w:p>
    <w:p w14:paraId="73558477" w14:textId="77202CE4" w:rsidR="00786100" w:rsidRPr="000305EC" w:rsidRDefault="00786100" w:rsidP="00786100">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C7B7E7" w14:textId="153D598C" w:rsidR="00786100" w:rsidRPr="000305EC" w:rsidRDefault="00786100" w:rsidP="00786100">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922DF2D"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09D8A408" w14:textId="77777777" w:rsidR="00786100" w:rsidRPr="000305EC" w:rsidRDefault="00786100" w:rsidP="00786100">
      <w:pPr>
        <w:pStyle w:val="Odstavecseseznamem"/>
        <w:tabs>
          <w:tab w:val="left" w:pos="1134"/>
        </w:tabs>
        <w:ind w:left="709"/>
        <w:contextualSpacing w:val="0"/>
      </w:pPr>
      <w:r w:rsidRPr="000305EC">
        <w:t>podnikání v průmyslu, stavebnictví, dopravě,</w:t>
      </w:r>
    </w:p>
    <w:p w14:paraId="571982D9" w14:textId="3B9EF6E6" w:rsidR="00786100" w:rsidRPr="000305EC" w:rsidRDefault="00786100" w:rsidP="00786100">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Pr>
          <w:b/>
          <w:bCs/>
          <w:sz w:val="28"/>
          <w:szCs w:val="28"/>
        </w:rPr>
        <w:t>3</w:t>
      </w:r>
      <w:r w:rsidRPr="000305EC">
        <w:t>,</w:t>
      </w:r>
    </w:p>
    <w:p w14:paraId="08BDA4AA"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6E62BB76" w14:textId="5280C787" w:rsidR="00786100" w:rsidRPr="000305EC" w:rsidRDefault="00786100" w:rsidP="00786100">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Pr>
          <w:b/>
          <w:bCs/>
          <w:sz w:val="28"/>
          <w:szCs w:val="28"/>
        </w:rPr>
        <w:t>3</w:t>
      </w:r>
      <w:r w:rsidRPr="000305EC">
        <w:t>.</w:t>
      </w:r>
    </w:p>
    <w:p w14:paraId="644A540C" w14:textId="77777777" w:rsidR="002A072E" w:rsidRPr="002C7DF4" w:rsidRDefault="002A072E" w:rsidP="002A072E">
      <w:pPr>
        <w:tabs>
          <w:tab w:val="left" w:pos="567"/>
        </w:tabs>
        <w:rPr>
          <w:i/>
          <w:sz w:val="20"/>
          <w:szCs w:val="20"/>
        </w:rPr>
      </w:pPr>
    </w:p>
    <w:p w14:paraId="12872E9F" w14:textId="77777777" w:rsidR="002A072E" w:rsidRPr="005F4028" w:rsidRDefault="002A072E" w:rsidP="002A072E">
      <w:pPr>
        <w:keepNext/>
        <w:jc w:val="center"/>
        <w:rPr>
          <w:b/>
        </w:rPr>
      </w:pPr>
      <w:r w:rsidRPr="005F4028">
        <w:rPr>
          <w:b/>
        </w:rPr>
        <w:t>Článek 3</w:t>
      </w:r>
    </w:p>
    <w:p w14:paraId="67145091" w14:textId="77777777" w:rsidR="002A072E" w:rsidRPr="005F4028" w:rsidRDefault="002A072E" w:rsidP="002A072E">
      <w:pPr>
        <w:keepNext/>
        <w:jc w:val="center"/>
        <w:rPr>
          <w:b/>
        </w:rPr>
      </w:pPr>
      <w:r w:rsidRPr="005F4028">
        <w:rPr>
          <w:b/>
        </w:rPr>
        <w:t>Zrušovací ustanovení</w:t>
      </w:r>
    </w:p>
    <w:p w14:paraId="1163BD78" w14:textId="77777777" w:rsidR="002A072E" w:rsidRPr="005F4028" w:rsidRDefault="002A072E" w:rsidP="002A072E">
      <w:pPr>
        <w:keepNext/>
        <w:jc w:val="center"/>
        <w:rPr>
          <w:b/>
          <w:sz w:val="20"/>
          <w:szCs w:val="20"/>
        </w:rPr>
      </w:pPr>
    </w:p>
    <w:p w14:paraId="3A68628F" w14:textId="7D10B7FF" w:rsidR="002A072E" w:rsidRPr="005F4028" w:rsidRDefault="002A072E" w:rsidP="002A072E">
      <w:pPr>
        <w:jc w:val="both"/>
      </w:pPr>
      <w:r w:rsidRPr="005F4028">
        <w:t xml:space="preserve">Zrušuje se obecně závazná vyhláška č. </w:t>
      </w:r>
      <w:r w:rsidR="005F4028" w:rsidRPr="005F4028">
        <w:t>3/2014</w:t>
      </w:r>
      <w:r w:rsidRPr="005F4028">
        <w:t>, o stanovení koeficient</w:t>
      </w:r>
      <w:r w:rsidR="009B3222" w:rsidRPr="005F4028">
        <w:t>ů</w:t>
      </w:r>
      <w:r w:rsidRPr="005F4028">
        <w:t xml:space="preserve"> pro výpočet daně z nemovitých věcí, ze dne </w:t>
      </w:r>
      <w:r w:rsidR="005F4028" w:rsidRPr="005F4028">
        <w:t>20. 8. 2014</w:t>
      </w:r>
      <w:r w:rsidRPr="005F4028">
        <w:t>.</w:t>
      </w:r>
    </w:p>
    <w:p w14:paraId="5199EA1B" w14:textId="77777777" w:rsidR="002A072E" w:rsidRPr="005F4028" w:rsidRDefault="002A072E" w:rsidP="002A072E"/>
    <w:p w14:paraId="75279FCF" w14:textId="77777777" w:rsidR="005F4028" w:rsidRDefault="005F4028">
      <w:pPr>
        <w:rPr>
          <w:b/>
        </w:rPr>
      </w:pPr>
      <w:r>
        <w:rPr>
          <w:b/>
        </w:rPr>
        <w:br w:type="page"/>
      </w:r>
    </w:p>
    <w:p w14:paraId="18B6E5B4" w14:textId="13606C4E" w:rsidR="002A072E" w:rsidRPr="005F4028" w:rsidRDefault="002A072E" w:rsidP="002A072E">
      <w:pPr>
        <w:keepNext/>
        <w:jc w:val="center"/>
        <w:rPr>
          <w:b/>
        </w:rPr>
      </w:pPr>
      <w:r w:rsidRPr="005F4028">
        <w:rPr>
          <w:b/>
        </w:rPr>
        <w:lastRenderedPageBreak/>
        <w:t>Článek 4</w:t>
      </w:r>
    </w:p>
    <w:p w14:paraId="3B96E057" w14:textId="77777777" w:rsidR="002A072E" w:rsidRPr="00C9237F" w:rsidRDefault="002A072E" w:rsidP="002A072E">
      <w:pPr>
        <w:keepNext/>
        <w:jc w:val="center"/>
        <w:rPr>
          <w:i/>
          <w:color w:val="FF0000"/>
          <w:sz w:val="20"/>
          <w:szCs w:val="20"/>
        </w:rPr>
      </w:pPr>
      <w:r w:rsidRPr="005F4028">
        <w:rPr>
          <w:b/>
        </w:rPr>
        <w:t>Účinnost</w:t>
      </w:r>
    </w:p>
    <w:p w14:paraId="26293B0E" w14:textId="77777777" w:rsidR="002A072E" w:rsidRPr="00B92FF1" w:rsidRDefault="002A072E" w:rsidP="002A072E">
      <w:pPr>
        <w:rPr>
          <w:sz w:val="20"/>
          <w:szCs w:val="20"/>
        </w:rPr>
      </w:pPr>
    </w:p>
    <w:p w14:paraId="16CB4C93" w14:textId="77777777" w:rsidR="002A072E" w:rsidRPr="00C9237F" w:rsidRDefault="002A072E" w:rsidP="002A072E">
      <w:r w:rsidRPr="00C9237F">
        <w:t xml:space="preserve">Tato obecně závazná vyhláška nabývá účinnosti dnem 1. ledna </w:t>
      </w:r>
      <w:r>
        <w:t>2025.</w:t>
      </w:r>
    </w:p>
    <w:p w14:paraId="104557A1" w14:textId="67A2C37D" w:rsidR="002A072E" w:rsidRDefault="002A072E" w:rsidP="002A072E">
      <w:pPr>
        <w:autoSpaceDE w:val="0"/>
      </w:pPr>
    </w:p>
    <w:p w14:paraId="6A32905D" w14:textId="77777777" w:rsidR="00C53A2D" w:rsidRDefault="00C53A2D" w:rsidP="002A072E">
      <w:pPr>
        <w:autoSpaceDE w:val="0"/>
      </w:pPr>
    </w:p>
    <w:p w14:paraId="72E0E881" w14:textId="6F40183E" w:rsidR="009B3222" w:rsidRDefault="009B3222" w:rsidP="002A072E">
      <w:pPr>
        <w:autoSpaceDE w:val="0"/>
      </w:pPr>
    </w:p>
    <w:tbl>
      <w:tblPr>
        <w:tblW w:w="0" w:type="auto"/>
        <w:jc w:val="center"/>
        <w:tblLook w:val="04A0" w:firstRow="1" w:lastRow="0" w:firstColumn="1" w:lastColumn="0" w:noHBand="0" w:noVBand="1"/>
      </w:tblPr>
      <w:tblGrid>
        <w:gridCol w:w="4605"/>
      </w:tblGrid>
      <w:tr w:rsidR="005F4028" w:rsidRPr="005F4028" w14:paraId="5A20F31E" w14:textId="77777777" w:rsidTr="005F4028">
        <w:trPr>
          <w:jc w:val="center"/>
        </w:trPr>
        <w:tc>
          <w:tcPr>
            <w:tcW w:w="4605" w:type="dxa"/>
          </w:tcPr>
          <w:p w14:paraId="5231C35F" w14:textId="77777777" w:rsidR="005F4028" w:rsidRPr="005F4028" w:rsidRDefault="005F4028" w:rsidP="00A03488">
            <w:pPr>
              <w:jc w:val="center"/>
            </w:pPr>
            <w:r w:rsidRPr="005F4028">
              <w:t>___________________________</w:t>
            </w:r>
          </w:p>
        </w:tc>
      </w:tr>
      <w:tr w:rsidR="005F4028" w:rsidRPr="005F4028" w14:paraId="29624DF9" w14:textId="77777777" w:rsidTr="005F4028">
        <w:trPr>
          <w:jc w:val="center"/>
        </w:trPr>
        <w:tc>
          <w:tcPr>
            <w:tcW w:w="4605" w:type="dxa"/>
          </w:tcPr>
          <w:p w14:paraId="3D1BBD69" w14:textId="77777777" w:rsidR="005F4028" w:rsidRPr="005F4028" w:rsidRDefault="005F4028" w:rsidP="00A03488">
            <w:pPr>
              <w:jc w:val="center"/>
            </w:pPr>
            <w:r w:rsidRPr="005F4028">
              <w:t>Ing. František Padělek v. r.</w:t>
            </w:r>
          </w:p>
          <w:p w14:paraId="6C3E341E" w14:textId="77777777" w:rsidR="005F4028" w:rsidRPr="005F4028" w:rsidRDefault="005F4028" w:rsidP="00A03488">
            <w:pPr>
              <w:jc w:val="center"/>
            </w:pPr>
            <w:r w:rsidRPr="005F4028">
              <w:t>starosta</w:t>
            </w:r>
          </w:p>
        </w:tc>
      </w:tr>
    </w:tbl>
    <w:p w14:paraId="08EEF4CB" w14:textId="77777777" w:rsidR="005F4028" w:rsidRPr="005F4028" w:rsidRDefault="005F4028" w:rsidP="002A072E">
      <w:pPr>
        <w:autoSpaceDE w:val="0"/>
      </w:pPr>
    </w:p>
    <w:p w14:paraId="185BA626" w14:textId="77777777" w:rsidR="009B3222" w:rsidRPr="005F4028" w:rsidRDefault="009B3222" w:rsidP="002A072E">
      <w:pPr>
        <w:autoSpaceDE w:val="0"/>
      </w:pPr>
    </w:p>
    <w:p w14:paraId="2CA00D2B" w14:textId="77777777" w:rsidR="009B3222" w:rsidRPr="005F4028" w:rsidRDefault="009B3222" w:rsidP="009B3222">
      <w:pPr>
        <w:tabs>
          <w:tab w:val="left" w:pos="3780"/>
        </w:tabs>
        <w:jc w:val="center"/>
      </w:pPr>
    </w:p>
    <w:tbl>
      <w:tblPr>
        <w:tblW w:w="0" w:type="auto"/>
        <w:tblLook w:val="04A0" w:firstRow="1" w:lastRow="0" w:firstColumn="1" w:lastColumn="0" w:noHBand="0" w:noVBand="1"/>
      </w:tblPr>
      <w:tblGrid>
        <w:gridCol w:w="4535"/>
        <w:gridCol w:w="4535"/>
      </w:tblGrid>
      <w:tr w:rsidR="009B3222" w:rsidRPr="005F4028" w14:paraId="72BB1EC0" w14:textId="77777777" w:rsidTr="003776AD">
        <w:tc>
          <w:tcPr>
            <w:tcW w:w="4605" w:type="dxa"/>
          </w:tcPr>
          <w:p w14:paraId="1325FB66" w14:textId="77777777" w:rsidR="009B3222" w:rsidRPr="005F4028" w:rsidRDefault="009B3222" w:rsidP="003776AD">
            <w:pPr>
              <w:jc w:val="center"/>
            </w:pPr>
            <w:r w:rsidRPr="005F4028">
              <w:t>___________________________</w:t>
            </w:r>
          </w:p>
        </w:tc>
        <w:tc>
          <w:tcPr>
            <w:tcW w:w="4605" w:type="dxa"/>
          </w:tcPr>
          <w:p w14:paraId="332A2430" w14:textId="77777777" w:rsidR="009B3222" w:rsidRPr="005F4028" w:rsidRDefault="009B3222" w:rsidP="003776AD">
            <w:pPr>
              <w:jc w:val="center"/>
            </w:pPr>
            <w:r w:rsidRPr="005F4028">
              <w:t>___________________________</w:t>
            </w:r>
          </w:p>
        </w:tc>
      </w:tr>
      <w:tr w:rsidR="009B3222" w:rsidRPr="00F0349F" w14:paraId="51528998" w14:textId="77777777" w:rsidTr="003776AD">
        <w:tc>
          <w:tcPr>
            <w:tcW w:w="4605" w:type="dxa"/>
          </w:tcPr>
          <w:p w14:paraId="0F979960" w14:textId="7AC6DCF6" w:rsidR="009B3222" w:rsidRPr="005F4028" w:rsidRDefault="00C53A2D" w:rsidP="003776AD">
            <w:pPr>
              <w:jc w:val="center"/>
            </w:pPr>
            <w:r w:rsidRPr="005F4028">
              <w:t xml:space="preserve">Ing. </w:t>
            </w:r>
            <w:r w:rsidR="005F4028" w:rsidRPr="005F4028">
              <w:t>Richard Červený</w:t>
            </w:r>
            <w:r w:rsidR="009B3222" w:rsidRPr="005F4028">
              <w:t xml:space="preserve"> v. r.</w:t>
            </w:r>
          </w:p>
          <w:p w14:paraId="45E3A176" w14:textId="3B5612AA" w:rsidR="009B3222" w:rsidRPr="005F4028" w:rsidRDefault="009B3222" w:rsidP="003776AD">
            <w:pPr>
              <w:jc w:val="center"/>
            </w:pPr>
            <w:r w:rsidRPr="005F4028">
              <w:t>místostarosta</w:t>
            </w:r>
          </w:p>
        </w:tc>
        <w:tc>
          <w:tcPr>
            <w:tcW w:w="4605" w:type="dxa"/>
          </w:tcPr>
          <w:p w14:paraId="48B5FE70" w14:textId="01DFF193" w:rsidR="009B3222" w:rsidRPr="005F4028" w:rsidRDefault="005F4028" w:rsidP="003776AD">
            <w:pPr>
              <w:jc w:val="center"/>
            </w:pPr>
            <w:r w:rsidRPr="005F4028">
              <w:t>Mgr. Jiří Řezníček</w:t>
            </w:r>
            <w:r w:rsidR="009B3222" w:rsidRPr="005F4028">
              <w:t xml:space="preserve"> v. r.</w:t>
            </w:r>
          </w:p>
          <w:p w14:paraId="08EEEEF9" w14:textId="15E5BF26" w:rsidR="009B3222" w:rsidRPr="00F0349F" w:rsidRDefault="005F4028" w:rsidP="003776AD">
            <w:pPr>
              <w:jc w:val="center"/>
            </w:pPr>
            <w:r w:rsidRPr="005F4028">
              <w:t>místostarosta</w:t>
            </w:r>
          </w:p>
        </w:tc>
      </w:tr>
    </w:tbl>
    <w:p w14:paraId="66755C77" w14:textId="77777777" w:rsidR="009B3222" w:rsidRPr="00F0349F" w:rsidRDefault="009B3222" w:rsidP="009B3222">
      <w:pPr>
        <w:jc w:val="center"/>
      </w:pPr>
    </w:p>
    <w:p w14:paraId="3F692FAD" w14:textId="77777777" w:rsidR="009B3222" w:rsidRDefault="009B3222" w:rsidP="009B3222">
      <w:pPr>
        <w:tabs>
          <w:tab w:val="center" w:pos="2268"/>
          <w:tab w:val="center" w:pos="6804"/>
        </w:tabs>
      </w:pPr>
    </w:p>
    <w:p w14:paraId="0FBCB8C6" w14:textId="77777777" w:rsidR="00786100" w:rsidRPr="002A072E" w:rsidRDefault="00786100" w:rsidP="009B3222"/>
    <w:sectPr w:rsidR="00786100" w:rsidRPr="002A072E" w:rsidSect="005F402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23C48" w14:textId="77777777" w:rsidR="00246634" w:rsidRDefault="00246634">
      <w:r>
        <w:separator/>
      </w:r>
    </w:p>
  </w:endnote>
  <w:endnote w:type="continuationSeparator" w:id="0">
    <w:p w14:paraId="311C086E" w14:textId="77777777" w:rsidR="00246634" w:rsidRDefault="0024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62896" w14:textId="77777777" w:rsidR="00246634" w:rsidRDefault="00246634">
      <w:r>
        <w:separator/>
      </w:r>
    </w:p>
  </w:footnote>
  <w:footnote w:type="continuationSeparator" w:id="0">
    <w:p w14:paraId="56591C2D" w14:textId="77777777" w:rsidR="00246634" w:rsidRDefault="00246634">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CBE966D" w14:textId="77777777"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430764">
    <w:abstractNumId w:val="27"/>
  </w:num>
  <w:num w:numId="2" w16cid:durableId="631133184">
    <w:abstractNumId w:val="4"/>
  </w:num>
  <w:num w:numId="3" w16cid:durableId="293827704">
    <w:abstractNumId w:val="11"/>
  </w:num>
  <w:num w:numId="4" w16cid:durableId="1994945114">
    <w:abstractNumId w:val="20"/>
  </w:num>
  <w:num w:numId="5" w16cid:durableId="1345595135">
    <w:abstractNumId w:val="22"/>
  </w:num>
  <w:num w:numId="6" w16cid:durableId="1655716249">
    <w:abstractNumId w:val="23"/>
  </w:num>
  <w:num w:numId="7" w16cid:durableId="1678192720">
    <w:abstractNumId w:val="0"/>
  </w:num>
  <w:num w:numId="8" w16cid:durableId="1817644561">
    <w:abstractNumId w:val="8"/>
  </w:num>
  <w:num w:numId="9" w16cid:durableId="83497230">
    <w:abstractNumId w:val="17"/>
  </w:num>
  <w:num w:numId="10" w16cid:durableId="978994799">
    <w:abstractNumId w:val="13"/>
  </w:num>
  <w:num w:numId="11" w16cid:durableId="384447847">
    <w:abstractNumId w:val="9"/>
  </w:num>
  <w:num w:numId="12" w16cid:durableId="642730896">
    <w:abstractNumId w:val="19"/>
  </w:num>
  <w:num w:numId="13" w16cid:durableId="1845511182">
    <w:abstractNumId w:val="18"/>
  </w:num>
  <w:num w:numId="14" w16cid:durableId="9068907">
    <w:abstractNumId w:val="25"/>
  </w:num>
  <w:num w:numId="15" w16cid:durableId="1191843002">
    <w:abstractNumId w:val="3"/>
  </w:num>
  <w:num w:numId="16" w16cid:durableId="1768887380">
    <w:abstractNumId w:val="2"/>
  </w:num>
  <w:num w:numId="17" w16cid:durableId="1969584771">
    <w:abstractNumId w:val="14"/>
  </w:num>
  <w:num w:numId="18" w16cid:durableId="1945069533">
    <w:abstractNumId w:val="7"/>
  </w:num>
  <w:num w:numId="19" w16cid:durableId="1188331270">
    <w:abstractNumId w:val="26"/>
  </w:num>
  <w:num w:numId="20" w16cid:durableId="214782169">
    <w:abstractNumId w:val="5"/>
  </w:num>
  <w:num w:numId="21" w16cid:durableId="1269315804">
    <w:abstractNumId w:val="12"/>
  </w:num>
  <w:num w:numId="22" w16cid:durableId="359817866">
    <w:abstractNumId w:val="21"/>
  </w:num>
  <w:num w:numId="23" w16cid:durableId="2079788129">
    <w:abstractNumId w:val="28"/>
  </w:num>
  <w:num w:numId="24" w16cid:durableId="1392653872">
    <w:abstractNumId w:val="10"/>
  </w:num>
  <w:num w:numId="25" w16cid:durableId="739861925">
    <w:abstractNumId w:val="16"/>
  </w:num>
  <w:num w:numId="26" w16cid:durableId="1890533536">
    <w:abstractNumId w:val="6"/>
  </w:num>
  <w:num w:numId="27" w16cid:durableId="155658563">
    <w:abstractNumId w:val="15"/>
  </w:num>
  <w:num w:numId="28" w16cid:durableId="1439913590">
    <w:abstractNumId w:val="1"/>
  </w:num>
  <w:num w:numId="29" w16cid:durableId="70205314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4445"/>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46634"/>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4028"/>
    <w:rsid w:val="005F6601"/>
    <w:rsid w:val="006010AE"/>
    <w:rsid w:val="00601F6C"/>
    <w:rsid w:val="00624A8C"/>
    <w:rsid w:val="0062581F"/>
    <w:rsid w:val="006271E2"/>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B3222"/>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3A2D"/>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1704"/>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4021"/>
    <w:rsid w:val="00F46A45"/>
    <w:rsid w:val="00F506E3"/>
    <w:rsid w:val="00F7290B"/>
    <w:rsid w:val="00F7691B"/>
    <w:rsid w:val="00F840BE"/>
    <w:rsid w:val="00F878E9"/>
    <w:rsid w:val="00F92B6C"/>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1434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Martincová, Zdeňka</cp:lastModifiedBy>
  <cp:revision>3</cp:revision>
  <cp:lastPrinted>2024-09-19T12:03:00Z</cp:lastPrinted>
  <dcterms:created xsi:type="dcterms:W3CDTF">2024-09-19T12:02:00Z</dcterms:created>
  <dcterms:modified xsi:type="dcterms:W3CDTF">2024-09-19T12:04:00Z</dcterms:modified>
</cp:coreProperties>
</file>