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1A" w:rsidRPr="00BF0990" w:rsidRDefault="00832E1A" w:rsidP="00BF0990">
      <w:pPr>
        <w:pStyle w:val="NormlnIMP"/>
        <w:spacing w:before="240"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F0990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BF0990" w:rsidRPr="00BF0990">
        <w:rPr>
          <w:rFonts w:ascii="Arial" w:hAnsi="Arial" w:cs="Arial"/>
          <w:b/>
          <w:color w:val="000000"/>
          <w:sz w:val="28"/>
          <w:szCs w:val="28"/>
        </w:rPr>
        <w:t>Přibyslavice</w:t>
      </w:r>
      <w:r w:rsidRPr="00BF099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32E1A" w:rsidRPr="002E0EAD" w:rsidRDefault="00832E1A" w:rsidP="00BF0990">
      <w:pPr>
        <w:spacing w:after="48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7D051D" w:rsidRPr="007D051D" w:rsidRDefault="007D051D" w:rsidP="007D051D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obce Přibyslavice se na svém zasedání </w:t>
      </w:r>
      <w:r w:rsidRPr="009E428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dne 14. prosince 2023</w:t>
      </w:r>
      <w:r w:rsidR="009E428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usnesením č. 9/10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0" w:name="_GoBack"/>
      <w:bookmarkEnd w:id="0"/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 Přibyslavice touto vyhláškou zavádí místní poplatek za obecní systém odpadového hospodářství (dále jen „poplatek“).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Poplatkovým obdobím poplatku je kalendářní rok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obecní úřad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Poplatník</w:t>
      </w:r>
    </w:p>
    <w:p w:rsidR="007D051D" w:rsidRPr="007D051D" w:rsidRDefault="007D051D" w:rsidP="007D051D">
      <w:pPr>
        <w:numPr>
          <w:ilvl w:val="0"/>
          <w:numId w:val="4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Poplatníkem poplatku je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fyzická osoba přihlášená v obci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3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7D051D" w:rsidRPr="007D051D" w:rsidRDefault="007D051D" w:rsidP="007D051D">
      <w:pPr>
        <w:numPr>
          <w:ilvl w:val="0"/>
          <w:numId w:val="4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4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7D051D" w:rsidRPr="007D051D" w:rsidRDefault="007D051D" w:rsidP="007D051D">
      <w:pPr>
        <w:numPr>
          <w:ilvl w:val="0"/>
          <w:numId w:val="4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Sazba poplatku za kalendářní rok činí 600 Kč.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konci</w:t>
      </w:r>
      <w:proofErr w:type="gramEnd"/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není tato fyzická osoba přihlášena v obci,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je tato fyzická osoba od poplatku osvobozena.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konci</w:t>
      </w:r>
      <w:proofErr w:type="gramEnd"/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 v této nemovité věci přihlášena alespoň 1 fyzická osoba,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nevlastní tuto nemovitou věc,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je poplatník od poplatku osvobozen.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Splatnost poplatku</w:t>
      </w:r>
    </w:p>
    <w:p w:rsidR="007D051D" w:rsidRPr="007D051D" w:rsidRDefault="007D051D" w:rsidP="007D051D">
      <w:pPr>
        <w:numPr>
          <w:ilvl w:val="0"/>
          <w:numId w:val="4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je splatný nejpozději do 31. května příslušného kalendářního roku.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Lhůta splatnosti neskončí poplatníkovi dříve než lhůta pro podání ohlášení podle čl. 3 odst. 1 této vyhlášky.</w:t>
      </w:r>
    </w:p>
    <w:p w:rsidR="007D051D" w:rsidRPr="007D051D" w:rsidRDefault="009E4289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6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="007D051D"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Osvobození a úlevy</w:t>
      </w:r>
    </w:p>
    <w:p w:rsidR="007D051D" w:rsidRPr="007D051D" w:rsidRDefault="007D051D" w:rsidP="007D051D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je osvobozena osoba, které poplatková povinnost vznikla z důvodu přihlášení v obci a která je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poplatníkem poplatku za odkládání komunálního odpadu z nemovité věci v jiné obci a má v této jiné obci bydliště,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v domově pro osoby se zdravotním postižením, domově pro seniory, domově se zvláštním režimem nebo v chráněném bydlení,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na základě zákona omezena na osobní svobodě s výjimkou osoby vykonávající trest domácího vězení.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se osvobozuje osoba, které poplatková povinnost vznikla z důvodu přihlášení v obci a která: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dovršila osmdesáti let a osoba starší osmdesáti let,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 mladší sedmi let,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pobývá v zahraničí déle než 12 měsíců,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které bylo správním rozhodnutím úředně sta</w:t>
      </w:r>
      <w:r w:rsidR="003245C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noveno místo trvalého pobytu na 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ohlašovně Obecního úřadu Přibyslavice, Sokolská 44, 664 83 Přibyslavice, a jejíž pobyt není známý,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kterou nelze celoročně obecní systém odpad</w:t>
      </w:r>
      <w:r w:rsidR="003245C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ového hospodářství zajišťovat z 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důvodu umístění nemovitosti, ve které je přihlášena, mimo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intravilán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obce; konkrétně se to týká těchto nemovitostí: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67, st. 210, st. 233,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Přibyslavice u Velké Bíteše, a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78, st. 59, st. 56, st. 55/1, st. 72, st. 54,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Radoškov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 zároveň přihlášena v obci na adrese jiné nemovitosti,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kterou nelze celoročně obecní systém odpad</w:t>
      </w:r>
      <w:r w:rsidR="003245C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ového hospodářství zajišťovat z 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důvodu umístění této nemovitosti mimo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intravilán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obce; konkrétně se to týká těchto 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lastRenderedPageBreak/>
        <w:t xml:space="preserve">nemovitostí: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67, st. 210, st. 233,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Přibyslavice u Velké Bíteše, a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78, st. 59, st. 56, st. 55/1, st. 72, st. 54,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Radoškov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Úleva se poskytuje osobě, které poplatková povinnost vznikla z důvodu přihlášení v obci a která je ve věku od sedmi do patnácti let, ve výši 100 Kč.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9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7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:rsidR="007D051D" w:rsidRPr="007D051D" w:rsidRDefault="007D051D" w:rsidP="007D051D">
      <w:pPr>
        <w:numPr>
          <w:ilvl w:val="0"/>
          <w:numId w:val="4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3/2021, o místním poplatku za obecní systém odpadového hospodářství, ze dne 14. prosince 2021.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8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:rsidR="007D051D" w:rsidRPr="007D051D" w:rsidRDefault="007D051D" w:rsidP="007D051D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 ledna 2024.</w:t>
      </w:r>
    </w:p>
    <w:p w:rsidR="00832E1A" w:rsidRPr="002E0EAD" w:rsidRDefault="00832E1A" w:rsidP="00832E1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1553D" w:rsidRDefault="009E4289" w:rsidP="0091553D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before="132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1017045</wp:posOffset>
                </wp:positionH>
                <wp:positionV relativeFrom="paragraph">
                  <wp:posOffset>706755</wp:posOffset>
                </wp:positionV>
                <wp:extent cx="566420" cy="318770"/>
                <wp:effectExtent l="3175" t="635" r="19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1E0F4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1pt;margin-top:55.65pt;width:44.6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TstAIAAL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zuKYRGCpwPQuTOZz1zmfZsfLg9LmPZM9sosc&#10;K2i8A6e7e20sGZodXWwsIUveda75nXh2AI7TCYSGq9ZmSbhe/kyDdJWsEuKRKF55JCgK77ZcEi8u&#10;w/mseFcsl0X4y8YNSdbyumbChjnqKiR/1reDwidFnJSlZcdrC2cpabVZLzuFdhR0XbrPlRwsZzf/&#10;OQ1XBMjlRUphRIK7KPXKOJl7pCQzL50HiReE6V0aByQlRfk8pXsu2L+nhMYcp7NoNmnpTPpFboH7&#10;XudGs54bmBwd73OcnJxoZhW4ErVrraG8m9YXpbD0z6WAdh8b7fRqJTqJ1ezXe0CxIl7L+gmUqyQo&#10;C0QI4w4WrVQ/MBphdORYf99SxTDqPghQfxoSYmeN25DZ3ApXXVrWlxYqKoDKscFoWi7NNJ+2g+Kb&#10;FiJN703IW3gxDXdqPrM6vDMYDy6pwyiz8+dy77zOA3fxGwAA//8DAFBLAwQUAAYACAAAACEAWVSi&#10;q94AAAALAQAADwAAAGRycy9kb3ducmV2LnhtbEyPzU7DMBCE70h9B2srcaN2QlrREKdCIK6glh+J&#10;mxtvk4h4HcVuE96e7am97Wg+zc4Um8l14oRDaD1pSBYKBFLlbUu1hs+P17sHECEasqbzhBr+MMCm&#10;nN0UJrd+pC2edrEWHEIhNxqaGPtcylA16ExY+B6JvYMfnIksh1rawYwc7jqZKrWSzrTEHxrT43OD&#10;1e/u6DR8vR1+vjP1Xr+4ZT/6SUlya6n17Xx6egQRcYoXGM71uTqU3Gnvj2SD6FivVMooH0lyD4KJ&#10;NFtnIPZnK1mCLAt5vaH8BwAA//8DAFBLAQItABQABgAIAAAAIQC2gziS/gAAAOEBAAATAAAAAAAA&#10;AAAAAAAAAAAAAABbQ29udGVudF9UeXBlc10ueG1sUEsBAi0AFAAGAAgAAAAhADj9If/WAAAAlAEA&#10;AAsAAAAAAAAAAAAAAAAALwEAAF9yZWxzLy5yZWxzUEsBAi0AFAAGAAgAAAAhALUV1Oy0AgAAuAUA&#10;AA4AAAAAAAAAAAAAAAAALgIAAGRycy9lMm9Eb2MueG1sUEsBAi0AFAAGAAgAAAAhAFlUoqveAAAA&#10;CwEAAA8AAAAAAAAAAAAAAAAADgUAAGRycy9kb3ducmV2LnhtbFBLBQYAAAAABAAEAPMAAAAZBgAA&#10;AAA=&#10;" filled="f" stroked="f">
                <v:textbox>
                  <w:txbxContent>
                    <w:p w:rsidR="00904EE0" w:rsidRPr="00904EE0" w:rsidRDefault="001E0F4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 w:rsidR="007D051D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4266995</wp:posOffset>
                </wp:positionH>
                <wp:positionV relativeFrom="paragraph">
                  <wp:posOffset>715850</wp:posOffset>
                </wp:positionV>
                <wp:extent cx="566420" cy="318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1E0F43" w:rsidP="00904E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6pt;margin-top:56.35pt;width:44.6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I3uAIAAL8FAAAOAAAAZHJzL2Uyb0RvYy54bWysVFtvmzAUfp+0/2D5nQKJQwIqqdoQpknd&#10;RWr3AxwwwRrYzHYCXbX/vmOTW9uXaRsPyPY5/s7l+3yub4a2QXumNJcixeFVgBEThSy52Kb422Pu&#10;LTDShoqSNlKwFD8xjW+W799d913CJrKWTckUAhChk75LcW1Ml/i+LmrWUn0lOybAWEnVUgNbtfVL&#10;RXtAbxt/EgSR30tVdkoWTGs4zUYjXjr8qmKF+VJVmhnUpBhyM+6v3H9j//7ymiZbRbuaF4c06F9k&#10;0VIuIOgJKqOGop3ib6BaXiipZWWuCtn6sqp4wVwNUE0YvKrmoaYdc7VAc3R3apP+f7DF5/1XhXiZ&#10;4ilGgrZA0SMbDLqTA5ra7vSdTsDpoQM3M8AxsOwq1d29LL5rJOSqpmLLbpWSfc1oCdmF9qZ/cXXE&#10;0RZk03+SJYShOyMd0FCp1rYOmoEAHVh6OjFjUyngcBZFZAKWAkzTcDGfO+Z8mhwvd0qbD0y2yC5S&#10;rIB4B07399rYZGhydLGxhMx50zjyG/HiABzHEwgNV63NJuG4fI6DeL1YL4hHJtHaI0GWebf5inhR&#10;Hs5n2TRbrbLwl40bkqTmZcmEDXPUVUj+jLeDwkdFnJSlZcNLC2dT0mq7WTUK7SnoOnefazlYzm7+&#10;yzRcE6CWVyWFExLcTWIvjxZzj+Rk5sXzYOEFYXwXRwGJSZa/LOmeC/bvJaE+xfFsMhu1dE76VW2B&#10;+97WRpOWG5gcDW9TvDg50cQqcC1KR62hvBnXF62w6Z9bAXQfiXZ6tRIdxWqGzeAehhOz1fJGlk8g&#10;YCVBYKBFmHqwqKX6iVEPEyTF+seOKoZR81HAI4hDQuzIcRsym1v9qkvL5tJCRQFQKTYYjcuVGcfU&#10;rlN8W0Ok8dkJeQsPp+JO1OesDs8NpoSr7TDR7Bi63Duv89xd/gYAAP//AwBQSwMEFAAGAAgAAAAh&#10;AI4VGiveAAAACwEAAA8AAABkcnMvZG93bnJldi54bWxMj81OwzAQhO9IvIO1SNyoHQsSGuJUCMQV&#10;RPmRuLnxNomI11HsNuHtWU70uDOj2W+qzeIHccQp9oEMZCsFAqkJrqfWwPvb09UtiJgsOTsEQgM/&#10;GGFTn59VtnRhplc8blMruIRiaQ10KY2llLHp0Nu4CiMSe/sweZv4nFrpJjtzuR+kViqX3vbEHzo7&#10;4kOHzff24A18PO+/Pq/VS/vob8Y5LEqSX0tjLi+W+zsQCZf0H4Y/fEaHmpl24UAuisFAXmjektjI&#10;dAGCE0WeaRA7VnK9BllX8nRD/QsAAP//AwBQSwECLQAUAAYACAAAACEAtoM4kv4AAADhAQAAEwAA&#10;AAAAAAAAAAAAAAAAAAAAW0NvbnRlbnRfVHlwZXNdLnhtbFBLAQItABQABgAIAAAAIQA4/SH/1gAA&#10;AJQBAAALAAAAAAAAAAAAAAAAAC8BAABfcmVscy8ucmVsc1BLAQItABQABgAIAAAAIQC8y9I3uAIA&#10;AL8FAAAOAAAAAAAAAAAAAAAAAC4CAABkcnMvZTJvRG9jLnhtbFBLAQItABQABgAIAAAAIQCOFRor&#10;3gAAAAsBAAAPAAAAAAAAAAAAAAAAABIFAABkcnMvZG93bnJldi54bWxQSwUGAAAAAAQABADzAAAA&#10;HQYAAAAA&#10;" filled="f" stroked="f">
                <v:textbox>
                  <w:txbxContent>
                    <w:p w:rsidR="00904EE0" w:rsidRPr="00904EE0" w:rsidRDefault="001E0F43" w:rsidP="00904E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</w:p>
    <w:p w:rsidR="0091553D" w:rsidRDefault="0091553D" w:rsidP="0091553D">
      <w:pPr>
        <w:tabs>
          <w:tab w:val="center" w:pos="1985"/>
          <w:tab w:val="center" w:pos="708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77D0F">
        <w:rPr>
          <w:rFonts w:ascii="Arial" w:hAnsi="Arial" w:cs="Arial"/>
          <w:bCs/>
        </w:rPr>
        <w:t xml:space="preserve">Ing. Bc. </w:t>
      </w:r>
      <w:r w:rsidR="007D051D">
        <w:rPr>
          <w:rFonts w:ascii="Arial" w:hAnsi="Arial" w:cs="Arial"/>
          <w:bCs/>
        </w:rPr>
        <w:t>Iva Hadašová</w:t>
      </w:r>
      <w:r>
        <w:rPr>
          <w:rFonts w:ascii="Arial" w:hAnsi="Arial" w:cs="Arial"/>
          <w:bCs/>
        </w:rPr>
        <w:tab/>
      </w:r>
      <w:r w:rsidR="007D051D">
        <w:rPr>
          <w:rFonts w:ascii="Arial" w:hAnsi="Arial" w:cs="Arial"/>
          <w:bCs/>
        </w:rPr>
        <w:t>doc. Mgr. Jana Pavlů</w:t>
      </w:r>
    </w:p>
    <w:p w:rsidR="0091553D" w:rsidRDefault="007D051D" w:rsidP="00162F8F">
      <w:pPr>
        <w:tabs>
          <w:tab w:val="center" w:pos="1985"/>
          <w:tab w:val="center" w:pos="7088"/>
        </w:tabs>
        <w:spacing w:after="1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>starost</w:t>
      </w:r>
      <w:r w:rsidR="00E77D0F">
        <w:rPr>
          <w:rFonts w:ascii="Arial" w:hAnsi="Arial" w:cs="Arial"/>
          <w:bCs/>
        </w:rPr>
        <w:t>k</w:t>
      </w:r>
      <w:r w:rsidR="0091553D">
        <w:rPr>
          <w:rFonts w:ascii="Arial" w:hAnsi="Arial" w:cs="Arial"/>
          <w:bCs/>
        </w:rPr>
        <w:t>a</w:t>
      </w:r>
      <w:r w:rsidR="0091553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místo</w:t>
      </w:r>
      <w:r w:rsidR="0091553D">
        <w:rPr>
          <w:rFonts w:ascii="Arial" w:hAnsi="Arial" w:cs="Arial"/>
          <w:bCs/>
        </w:rPr>
        <w:t>starostka</w:t>
      </w:r>
    </w:p>
    <w:sectPr w:rsidR="0091553D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BC" w:rsidRDefault="003C68BC">
      <w:r>
        <w:separator/>
      </w:r>
    </w:p>
  </w:endnote>
  <w:endnote w:type="continuationSeparator" w:id="0">
    <w:p w:rsidR="003C68BC" w:rsidRDefault="003C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Default="00F85A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4289">
      <w:rPr>
        <w:noProof/>
      </w:rPr>
      <w:t>4</w:t>
    </w:r>
    <w:r>
      <w:fldChar w:fldCharType="end"/>
    </w:r>
  </w:p>
  <w:p w:rsidR="00F85ABA" w:rsidRDefault="00F85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BC" w:rsidRDefault="003C68BC">
      <w:r>
        <w:separator/>
      </w:r>
    </w:p>
  </w:footnote>
  <w:footnote w:type="continuationSeparator" w:id="0">
    <w:p w:rsidR="003C68BC" w:rsidRDefault="003C68BC">
      <w:r>
        <w:continuationSeparator/>
      </w:r>
    </w:p>
  </w:footnote>
  <w:footnote w:id="1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D051D" w:rsidRDefault="007D051D" w:rsidP="003245CA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Pr="0050113D" w:rsidRDefault="007D051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caps/>
        <w:sz w:val="36"/>
        <w:szCs w:val="36"/>
      </w:rPr>
    </w:pPr>
    <w:r w:rsidRPr="0050113D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-75565</wp:posOffset>
          </wp:positionV>
          <wp:extent cx="784225" cy="947420"/>
          <wp:effectExtent l="0" t="0" r="0" b="5080"/>
          <wp:wrapNone/>
          <wp:docPr id="2" name="obrázek 2" descr="Znak_Pribyslavice PRAVÝ_16p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Pribyslavice PRAVÝ_16p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BA" w:rsidRPr="0050113D">
      <w:rPr>
        <w:rFonts w:ascii="Arial" w:hAnsi="Arial" w:cs="Arial"/>
        <w:b/>
        <w:caps/>
        <w:sz w:val="36"/>
        <w:szCs w:val="36"/>
      </w:rPr>
      <w:t>Obec Přibyslavice</w:t>
    </w:r>
  </w:p>
  <w:p w:rsidR="00F85ABA" w:rsidRPr="0050113D" w:rsidRDefault="00F85ABA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Sokolská 44, 6</w:t>
    </w:r>
    <w:r w:rsidR="00B71D80" w:rsidRPr="0050113D">
      <w:rPr>
        <w:rFonts w:ascii="Arial" w:hAnsi="Arial" w:cs="Arial"/>
        <w:sz w:val="20"/>
      </w:rPr>
      <w:t>64 83 Přibyslavice, okr. Brno</w:t>
    </w:r>
    <w:r w:rsidR="007D051D">
      <w:rPr>
        <w:rFonts w:ascii="Arial" w:hAnsi="Arial" w:cs="Arial"/>
        <w:sz w:val="20"/>
      </w:rPr>
      <w:t xml:space="preserve"> </w:t>
    </w:r>
    <w:r w:rsidR="00B71D80" w:rsidRPr="0050113D">
      <w:rPr>
        <w:rFonts w:ascii="Arial" w:hAnsi="Arial" w:cs="Arial"/>
        <w:sz w:val="20"/>
      </w:rPr>
      <w:t>–</w:t>
    </w:r>
    <w:r w:rsidR="007D051D">
      <w:rPr>
        <w:rFonts w:ascii="Arial" w:hAnsi="Arial" w:cs="Arial"/>
        <w:sz w:val="20"/>
      </w:rPr>
      <w:t xml:space="preserve"> v</w:t>
    </w:r>
    <w:r w:rsidRPr="0050113D">
      <w:rPr>
        <w:rFonts w:ascii="Arial" w:hAnsi="Arial" w:cs="Arial"/>
        <w:sz w:val="20"/>
      </w:rPr>
      <w:t>enkov</w:t>
    </w:r>
  </w:p>
  <w:p w:rsidR="00F85ABA" w:rsidRPr="0050113D" w:rsidRDefault="00F85ABA" w:rsidP="0050113D">
    <w:pPr>
      <w:pStyle w:val="Zhlav"/>
      <w:tabs>
        <w:tab w:val="clear" w:pos="4536"/>
      </w:tabs>
      <w:spacing w:after="120"/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IČO: 00637548, tel.: 546 440</w:t>
    </w:r>
    <w:r w:rsidR="0050113D" w:rsidRPr="0050113D">
      <w:rPr>
        <w:rFonts w:ascii="Arial" w:hAnsi="Arial" w:cs="Arial"/>
        <w:sz w:val="20"/>
      </w:rPr>
      <w:t> </w:t>
    </w:r>
    <w:r w:rsidRPr="0050113D">
      <w:rPr>
        <w:rFonts w:ascii="Arial" w:hAnsi="Arial" w:cs="Arial"/>
        <w:sz w:val="20"/>
      </w:rPr>
      <w:t>292</w:t>
    </w:r>
  </w:p>
  <w:p w:rsidR="0050113D" w:rsidRPr="0050113D" w:rsidRDefault="0050113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szCs w:val="24"/>
      </w:rPr>
    </w:pPr>
    <w:r w:rsidRPr="0050113D">
      <w:rPr>
        <w:rFonts w:ascii="Arial" w:hAnsi="Arial" w:cs="Arial"/>
        <w:b/>
        <w:szCs w:val="24"/>
      </w:rPr>
      <w:t>Zastupitelstvo obce Přibyslavice</w:t>
    </w:r>
  </w:p>
  <w:p w:rsidR="00F85ABA" w:rsidRPr="00A400BC" w:rsidRDefault="00F85ABA" w:rsidP="00CC42C4">
    <w:pPr>
      <w:pStyle w:val="Zhlav"/>
      <w:tabs>
        <w:tab w:val="clear" w:pos="4536"/>
      </w:tabs>
      <w:spacing w:after="240"/>
    </w:pPr>
    <w:r w:rsidRPr="00095548">
      <w:rPr>
        <w:rFonts w:ascii="Arial" w:hAnsi="Arial" w:cs="Arial"/>
        <w:b/>
        <w:sz w:val="26"/>
        <w:szCs w:val="26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63628C"/>
    <w:multiLevelType w:val="hybridMultilevel"/>
    <w:tmpl w:val="496E4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B41F2"/>
    <w:multiLevelType w:val="hybridMultilevel"/>
    <w:tmpl w:val="ABA69DC4"/>
    <w:lvl w:ilvl="0" w:tplc="A84854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3A04C5"/>
    <w:multiLevelType w:val="hybridMultilevel"/>
    <w:tmpl w:val="D89A25E2"/>
    <w:lvl w:ilvl="0" w:tplc="37FAEE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2B6"/>
    <w:multiLevelType w:val="hybridMultilevel"/>
    <w:tmpl w:val="9FD8C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810CEA"/>
    <w:multiLevelType w:val="hybridMultilevel"/>
    <w:tmpl w:val="515C8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B111BD0"/>
    <w:multiLevelType w:val="hybridMultilevel"/>
    <w:tmpl w:val="DCCAC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0EC333B"/>
    <w:multiLevelType w:val="multilevel"/>
    <w:tmpl w:val="5172F7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6" w15:restartNumberingAfterBreak="0">
    <w:nsid w:val="55EC0108"/>
    <w:multiLevelType w:val="hybridMultilevel"/>
    <w:tmpl w:val="92787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1"/>
  </w:num>
  <w:num w:numId="3">
    <w:abstractNumId w:val="6"/>
  </w:num>
  <w:num w:numId="4">
    <w:abstractNumId w:val="30"/>
  </w:num>
  <w:num w:numId="5">
    <w:abstractNumId w:val="27"/>
  </w:num>
  <w:num w:numId="6">
    <w:abstractNumId w:val="36"/>
  </w:num>
  <w:num w:numId="7">
    <w:abstractNumId w:val="15"/>
  </w:num>
  <w:num w:numId="8">
    <w:abstractNumId w:val="5"/>
  </w:num>
  <w:num w:numId="9">
    <w:abstractNumId w:val="35"/>
  </w:num>
  <w:num w:numId="10">
    <w:abstractNumId w:val="29"/>
  </w:num>
  <w:num w:numId="11">
    <w:abstractNumId w:val="28"/>
  </w:num>
  <w:num w:numId="12">
    <w:abstractNumId w:val="16"/>
  </w:num>
  <w:num w:numId="13">
    <w:abstractNumId w:val="32"/>
  </w:num>
  <w:num w:numId="14">
    <w:abstractNumId w:val="39"/>
  </w:num>
  <w:num w:numId="15">
    <w:abstractNumId w:val="17"/>
  </w:num>
  <w:num w:numId="16">
    <w:abstractNumId w:val="38"/>
  </w:num>
  <w:num w:numId="17">
    <w:abstractNumId w:val="8"/>
  </w:num>
  <w:num w:numId="18">
    <w:abstractNumId w:val="1"/>
  </w:num>
  <w:num w:numId="19">
    <w:abstractNumId w:val="11"/>
  </w:num>
  <w:num w:numId="20">
    <w:abstractNumId w:val="13"/>
  </w:num>
  <w:num w:numId="21">
    <w:abstractNumId w:val="23"/>
  </w:num>
  <w:num w:numId="22">
    <w:abstractNumId w:val="19"/>
  </w:num>
  <w:num w:numId="23">
    <w:abstractNumId w:val="3"/>
  </w:num>
  <w:num w:numId="24">
    <w:abstractNumId w:val="26"/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4"/>
  </w:num>
  <w:num w:numId="29">
    <w:abstractNumId w:val="20"/>
  </w:num>
  <w:num w:numId="30">
    <w:abstractNumId w:val="40"/>
  </w:num>
  <w:num w:numId="31">
    <w:abstractNumId w:val="21"/>
  </w:num>
  <w:num w:numId="32">
    <w:abstractNumId w:val="22"/>
  </w:num>
  <w:num w:numId="33">
    <w:abstractNumId w:val="0"/>
  </w:num>
  <w:num w:numId="34">
    <w:abstractNumId w:val="18"/>
  </w:num>
  <w:num w:numId="35">
    <w:abstractNumId w:val="10"/>
  </w:num>
  <w:num w:numId="36">
    <w:abstractNumId w:val="9"/>
  </w:num>
  <w:num w:numId="37">
    <w:abstractNumId w:val="33"/>
  </w:num>
  <w:num w:numId="38">
    <w:abstractNumId w:val="31"/>
  </w:num>
  <w:num w:numId="39">
    <w:abstractNumId w:val="2"/>
  </w:num>
  <w:num w:numId="40">
    <w:abstractNumId w:val="37"/>
  </w:num>
  <w:num w:numId="41">
    <w:abstractNumId w:val="7"/>
  </w:num>
  <w:num w:numId="42">
    <w:abstractNumId w:val="25"/>
  </w:num>
  <w:num w:numId="43">
    <w:abstractNumId w:val="25"/>
    <w:lvlOverride w:ilvl="0">
      <w:startOverride w:val="1"/>
    </w:lvlOverride>
  </w:num>
  <w:num w:numId="44">
    <w:abstractNumId w:val="25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25"/>
    <w:lvlOverride w:ilvl="0">
      <w:startOverride w:val="1"/>
    </w:lvlOverride>
  </w:num>
  <w:num w:numId="47">
    <w:abstractNumId w:val="25"/>
    <w:lvlOverride w:ilvl="0">
      <w:startOverride w:val="1"/>
    </w:lvlOverride>
  </w:num>
  <w:num w:numId="48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FD8"/>
    <w:rsid w:val="000332D7"/>
    <w:rsid w:val="00036778"/>
    <w:rsid w:val="000402B9"/>
    <w:rsid w:val="00042756"/>
    <w:rsid w:val="00053446"/>
    <w:rsid w:val="00055691"/>
    <w:rsid w:val="0005615E"/>
    <w:rsid w:val="000765F2"/>
    <w:rsid w:val="0008576A"/>
    <w:rsid w:val="00091C2D"/>
    <w:rsid w:val="00095548"/>
    <w:rsid w:val="000A79D5"/>
    <w:rsid w:val="000E7404"/>
    <w:rsid w:val="000E7D6D"/>
    <w:rsid w:val="000F0DEA"/>
    <w:rsid w:val="000F286D"/>
    <w:rsid w:val="000F4494"/>
    <w:rsid w:val="000F645D"/>
    <w:rsid w:val="00115451"/>
    <w:rsid w:val="00117E27"/>
    <w:rsid w:val="00130CF2"/>
    <w:rsid w:val="00133646"/>
    <w:rsid w:val="00134AA3"/>
    <w:rsid w:val="00143C84"/>
    <w:rsid w:val="001476FD"/>
    <w:rsid w:val="001510B8"/>
    <w:rsid w:val="00152A63"/>
    <w:rsid w:val="00162F8F"/>
    <w:rsid w:val="00182F5F"/>
    <w:rsid w:val="00190EFE"/>
    <w:rsid w:val="001A5FC6"/>
    <w:rsid w:val="001A7A68"/>
    <w:rsid w:val="001E0F43"/>
    <w:rsid w:val="001F4653"/>
    <w:rsid w:val="00200839"/>
    <w:rsid w:val="00206275"/>
    <w:rsid w:val="00223F72"/>
    <w:rsid w:val="00227BC7"/>
    <w:rsid w:val="0023379E"/>
    <w:rsid w:val="00244C59"/>
    <w:rsid w:val="0024722A"/>
    <w:rsid w:val="00254487"/>
    <w:rsid w:val="00255095"/>
    <w:rsid w:val="00267188"/>
    <w:rsid w:val="002736E5"/>
    <w:rsid w:val="00273BEE"/>
    <w:rsid w:val="0029585C"/>
    <w:rsid w:val="002A12D8"/>
    <w:rsid w:val="002B6791"/>
    <w:rsid w:val="002C1C3F"/>
    <w:rsid w:val="002C32D2"/>
    <w:rsid w:val="002C442F"/>
    <w:rsid w:val="002C782C"/>
    <w:rsid w:val="003245CA"/>
    <w:rsid w:val="00342DAE"/>
    <w:rsid w:val="00343C2D"/>
    <w:rsid w:val="00352EB5"/>
    <w:rsid w:val="00373576"/>
    <w:rsid w:val="0038747F"/>
    <w:rsid w:val="003926A3"/>
    <w:rsid w:val="003934B6"/>
    <w:rsid w:val="003A6F33"/>
    <w:rsid w:val="003A7FC0"/>
    <w:rsid w:val="003B3AFC"/>
    <w:rsid w:val="003C68BC"/>
    <w:rsid w:val="003D49DE"/>
    <w:rsid w:val="003D4D6A"/>
    <w:rsid w:val="003E5798"/>
    <w:rsid w:val="003E7B1D"/>
    <w:rsid w:val="003F0EC4"/>
    <w:rsid w:val="003F1228"/>
    <w:rsid w:val="003F24A0"/>
    <w:rsid w:val="00423176"/>
    <w:rsid w:val="0042679B"/>
    <w:rsid w:val="0042723F"/>
    <w:rsid w:val="00431942"/>
    <w:rsid w:val="00440CF1"/>
    <w:rsid w:val="00474FFD"/>
    <w:rsid w:val="004761AD"/>
    <w:rsid w:val="00483121"/>
    <w:rsid w:val="004A451F"/>
    <w:rsid w:val="004A6135"/>
    <w:rsid w:val="004B37BE"/>
    <w:rsid w:val="004B5C2C"/>
    <w:rsid w:val="004E7FD5"/>
    <w:rsid w:val="0050113D"/>
    <w:rsid w:val="00503F10"/>
    <w:rsid w:val="00505735"/>
    <w:rsid w:val="00507A74"/>
    <w:rsid w:val="00525ABF"/>
    <w:rsid w:val="0053072A"/>
    <w:rsid w:val="00553391"/>
    <w:rsid w:val="00553B78"/>
    <w:rsid w:val="00555FEB"/>
    <w:rsid w:val="00560DED"/>
    <w:rsid w:val="0058258B"/>
    <w:rsid w:val="00590993"/>
    <w:rsid w:val="0059780C"/>
    <w:rsid w:val="005A1CAE"/>
    <w:rsid w:val="005A3FFD"/>
    <w:rsid w:val="005E114F"/>
    <w:rsid w:val="005E3069"/>
    <w:rsid w:val="00617FE8"/>
    <w:rsid w:val="006277AF"/>
    <w:rsid w:val="00631BE3"/>
    <w:rsid w:val="00641107"/>
    <w:rsid w:val="00645198"/>
    <w:rsid w:val="0064720B"/>
    <w:rsid w:val="00676BFD"/>
    <w:rsid w:val="00680F15"/>
    <w:rsid w:val="006866EF"/>
    <w:rsid w:val="006A5072"/>
    <w:rsid w:val="006B0337"/>
    <w:rsid w:val="006D5E8D"/>
    <w:rsid w:val="006E5A0C"/>
    <w:rsid w:val="007129AE"/>
    <w:rsid w:val="00714B2D"/>
    <w:rsid w:val="0072693E"/>
    <w:rsid w:val="00745703"/>
    <w:rsid w:val="00755F72"/>
    <w:rsid w:val="00777DF6"/>
    <w:rsid w:val="00777EAD"/>
    <w:rsid w:val="007864B1"/>
    <w:rsid w:val="007867F8"/>
    <w:rsid w:val="00786950"/>
    <w:rsid w:val="007909DA"/>
    <w:rsid w:val="00795009"/>
    <w:rsid w:val="00797A40"/>
    <w:rsid w:val="007A3B21"/>
    <w:rsid w:val="007A514D"/>
    <w:rsid w:val="007B2FB7"/>
    <w:rsid w:val="007C40FF"/>
    <w:rsid w:val="007C50C0"/>
    <w:rsid w:val="007D051D"/>
    <w:rsid w:val="007E1DB2"/>
    <w:rsid w:val="007E2B21"/>
    <w:rsid w:val="007E5547"/>
    <w:rsid w:val="007F57F7"/>
    <w:rsid w:val="008015C8"/>
    <w:rsid w:val="00813440"/>
    <w:rsid w:val="00823562"/>
    <w:rsid w:val="00831591"/>
    <w:rsid w:val="00832E1A"/>
    <w:rsid w:val="008367C2"/>
    <w:rsid w:val="0083695F"/>
    <w:rsid w:val="00841C04"/>
    <w:rsid w:val="00856F33"/>
    <w:rsid w:val="0086512E"/>
    <w:rsid w:val="00870986"/>
    <w:rsid w:val="00872F8B"/>
    <w:rsid w:val="00882107"/>
    <w:rsid w:val="00883EF2"/>
    <w:rsid w:val="008A0526"/>
    <w:rsid w:val="008A7805"/>
    <w:rsid w:val="008D193E"/>
    <w:rsid w:val="008D4BEF"/>
    <w:rsid w:val="008E0DB2"/>
    <w:rsid w:val="0090366B"/>
    <w:rsid w:val="00904EE0"/>
    <w:rsid w:val="009146F3"/>
    <w:rsid w:val="0091553D"/>
    <w:rsid w:val="00921A65"/>
    <w:rsid w:val="009627DE"/>
    <w:rsid w:val="0097218C"/>
    <w:rsid w:val="00976B00"/>
    <w:rsid w:val="009774F4"/>
    <w:rsid w:val="009859B0"/>
    <w:rsid w:val="00994AB6"/>
    <w:rsid w:val="009A0CCB"/>
    <w:rsid w:val="009A64B8"/>
    <w:rsid w:val="009B680A"/>
    <w:rsid w:val="009B77CC"/>
    <w:rsid w:val="009C4C1D"/>
    <w:rsid w:val="009D2F54"/>
    <w:rsid w:val="009E4289"/>
    <w:rsid w:val="009E68F8"/>
    <w:rsid w:val="009F1521"/>
    <w:rsid w:val="009F5BB9"/>
    <w:rsid w:val="00A24AB3"/>
    <w:rsid w:val="00A400BC"/>
    <w:rsid w:val="00A47CFF"/>
    <w:rsid w:val="00A532C2"/>
    <w:rsid w:val="00A625BA"/>
    <w:rsid w:val="00A64714"/>
    <w:rsid w:val="00A74ECE"/>
    <w:rsid w:val="00A773EE"/>
    <w:rsid w:val="00A90442"/>
    <w:rsid w:val="00A94551"/>
    <w:rsid w:val="00A9460B"/>
    <w:rsid w:val="00AD0D21"/>
    <w:rsid w:val="00AE14D4"/>
    <w:rsid w:val="00AE3C73"/>
    <w:rsid w:val="00AE42D2"/>
    <w:rsid w:val="00AF72CD"/>
    <w:rsid w:val="00B020EE"/>
    <w:rsid w:val="00B321B9"/>
    <w:rsid w:val="00B42462"/>
    <w:rsid w:val="00B65940"/>
    <w:rsid w:val="00B71D80"/>
    <w:rsid w:val="00B7787C"/>
    <w:rsid w:val="00BA7164"/>
    <w:rsid w:val="00BC2DF2"/>
    <w:rsid w:val="00BD3591"/>
    <w:rsid w:val="00BE4DFE"/>
    <w:rsid w:val="00BF0879"/>
    <w:rsid w:val="00BF0990"/>
    <w:rsid w:val="00C04F62"/>
    <w:rsid w:val="00C06470"/>
    <w:rsid w:val="00C25DCE"/>
    <w:rsid w:val="00C2619E"/>
    <w:rsid w:val="00C300CC"/>
    <w:rsid w:val="00C30A39"/>
    <w:rsid w:val="00C3782E"/>
    <w:rsid w:val="00C67796"/>
    <w:rsid w:val="00C9137C"/>
    <w:rsid w:val="00C9368B"/>
    <w:rsid w:val="00CB176B"/>
    <w:rsid w:val="00CB5754"/>
    <w:rsid w:val="00CB7F89"/>
    <w:rsid w:val="00CC3A9F"/>
    <w:rsid w:val="00CC42C4"/>
    <w:rsid w:val="00CD1D75"/>
    <w:rsid w:val="00CD3E90"/>
    <w:rsid w:val="00CD4759"/>
    <w:rsid w:val="00CE0C3A"/>
    <w:rsid w:val="00CE1581"/>
    <w:rsid w:val="00CF6192"/>
    <w:rsid w:val="00D04C14"/>
    <w:rsid w:val="00D15114"/>
    <w:rsid w:val="00D25BA7"/>
    <w:rsid w:val="00D326FC"/>
    <w:rsid w:val="00D7341B"/>
    <w:rsid w:val="00D756CA"/>
    <w:rsid w:val="00D91A41"/>
    <w:rsid w:val="00D95EA4"/>
    <w:rsid w:val="00DB2051"/>
    <w:rsid w:val="00DB5B6C"/>
    <w:rsid w:val="00DB625C"/>
    <w:rsid w:val="00DC4CCA"/>
    <w:rsid w:val="00DE0A5F"/>
    <w:rsid w:val="00DE54A3"/>
    <w:rsid w:val="00E10321"/>
    <w:rsid w:val="00E11050"/>
    <w:rsid w:val="00E15888"/>
    <w:rsid w:val="00E428C5"/>
    <w:rsid w:val="00E6532D"/>
    <w:rsid w:val="00E77D0F"/>
    <w:rsid w:val="00E9790D"/>
    <w:rsid w:val="00EA1B4D"/>
    <w:rsid w:val="00EA424E"/>
    <w:rsid w:val="00EA67EF"/>
    <w:rsid w:val="00EB2DCF"/>
    <w:rsid w:val="00EC6375"/>
    <w:rsid w:val="00ED2511"/>
    <w:rsid w:val="00EE763D"/>
    <w:rsid w:val="00EF6471"/>
    <w:rsid w:val="00F11FC3"/>
    <w:rsid w:val="00F301DF"/>
    <w:rsid w:val="00F30777"/>
    <w:rsid w:val="00F47FED"/>
    <w:rsid w:val="00F53DAF"/>
    <w:rsid w:val="00F7073D"/>
    <w:rsid w:val="00F71191"/>
    <w:rsid w:val="00F724DF"/>
    <w:rsid w:val="00F76A45"/>
    <w:rsid w:val="00F77173"/>
    <w:rsid w:val="00F84FF3"/>
    <w:rsid w:val="00F85ABA"/>
    <w:rsid w:val="00FA0E0C"/>
    <w:rsid w:val="00FB36A3"/>
    <w:rsid w:val="00FB3FA5"/>
    <w:rsid w:val="00FB6AE5"/>
    <w:rsid w:val="00FC2355"/>
    <w:rsid w:val="00FD3DCA"/>
    <w:rsid w:val="00FD6BB3"/>
    <w:rsid w:val="00FE5302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347E61-841B-4E07-B288-215E7E20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37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400BC"/>
    <w:rPr>
      <w:sz w:val="24"/>
    </w:rPr>
  </w:style>
  <w:style w:type="character" w:customStyle="1" w:styleId="ZkladntextChar">
    <w:name w:val="Základní text Char"/>
    <w:link w:val="Zkladntext"/>
    <w:rsid w:val="00676BFD"/>
    <w:rPr>
      <w:sz w:val="24"/>
    </w:rPr>
  </w:style>
  <w:style w:type="paragraph" w:customStyle="1" w:styleId="slalnk">
    <w:name w:val="Čísla článků"/>
    <w:basedOn w:val="Normln"/>
    <w:rsid w:val="00D151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15114"/>
    <w:pPr>
      <w:spacing w:before="60" w:after="160"/>
    </w:pPr>
  </w:style>
  <w:style w:type="character" w:customStyle="1" w:styleId="TextpoznpodarouChar">
    <w:name w:val="Text pozn. pod čarou Char"/>
    <w:link w:val="Textpoznpodarou"/>
    <w:rsid w:val="009A0CCB"/>
    <w:rPr>
      <w:noProof/>
    </w:rPr>
  </w:style>
  <w:style w:type="paragraph" w:customStyle="1" w:styleId="nzevzkona">
    <w:name w:val="název zákona"/>
    <w:basedOn w:val="Nzev"/>
    <w:rsid w:val="00832E1A"/>
    <w:rPr>
      <w:rFonts w:ascii="Cambria" w:hAnsi="Cambria" w:cs="Cambria"/>
    </w:rPr>
  </w:style>
  <w:style w:type="paragraph" w:customStyle="1" w:styleId="Default">
    <w:name w:val="Default"/>
    <w:rsid w:val="00832E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32E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832E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Footnote">
    <w:name w:val="Footnote"/>
    <w:basedOn w:val="Normln"/>
    <w:rsid w:val="007D051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11647-58FE-4148-80EA-CF2C0326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965</Words>
  <Characters>4657</Characters>
  <Application>Microsoft Office Word</Application>
  <DocSecurity>0</DocSecurity>
  <Lines>125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Hadaš</cp:lastModifiedBy>
  <cp:revision>5</cp:revision>
  <cp:lastPrinted>2019-04-24T11:47:00Z</cp:lastPrinted>
  <dcterms:created xsi:type="dcterms:W3CDTF">2023-11-20T09:30:00Z</dcterms:created>
  <dcterms:modified xsi:type="dcterms:W3CDTF">2023-12-15T08:15:00Z</dcterms:modified>
</cp:coreProperties>
</file>