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6EDBE" w14:textId="6EEA6A1E" w:rsidR="00690BA0" w:rsidRDefault="00690BA0" w:rsidP="00690BA0">
      <w:pPr>
        <w:spacing w:line="276" w:lineRule="auto"/>
        <w:jc w:val="right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1B8064" w14:textId="77777777" w:rsidR="00690BA0" w:rsidRDefault="00690BA0" w:rsidP="00690BA0">
      <w:pPr>
        <w:spacing w:line="276" w:lineRule="auto"/>
        <w:jc w:val="center"/>
      </w:pPr>
    </w:p>
    <w:p w14:paraId="1A196B99" w14:textId="77777777" w:rsidR="00690BA0" w:rsidRDefault="00690BA0" w:rsidP="00690BA0">
      <w:pPr>
        <w:spacing w:line="276" w:lineRule="auto"/>
        <w:jc w:val="center"/>
      </w:pPr>
    </w:p>
    <w:p w14:paraId="5C419C4E" w14:textId="77777777" w:rsidR="00690BA0" w:rsidRDefault="00690BA0" w:rsidP="00690BA0">
      <w:pPr>
        <w:spacing w:line="276" w:lineRule="auto"/>
        <w:jc w:val="center"/>
      </w:pPr>
    </w:p>
    <w:p w14:paraId="5C16405D" w14:textId="77777777" w:rsidR="00690BA0" w:rsidRDefault="00690BA0" w:rsidP="00690BA0">
      <w:pPr>
        <w:spacing w:line="276" w:lineRule="auto"/>
        <w:jc w:val="center"/>
      </w:pPr>
    </w:p>
    <w:p w14:paraId="5CB01C6E" w14:textId="77777777" w:rsidR="00690BA0" w:rsidRDefault="00690BA0" w:rsidP="00690BA0">
      <w:pPr>
        <w:spacing w:line="276" w:lineRule="auto"/>
        <w:jc w:val="center"/>
      </w:pPr>
    </w:p>
    <w:p w14:paraId="6B3F9055" w14:textId="77777777" w:rsidR="00690BA0" w:rsidRDefault="00690BA0" w:rsidP="00690BA0">
      <w:pPr>
        <w:spacing w:line="276" w:lineRule="auto"/>
        <w:jc w:val="center"/>
      </w:pPr>
    </w:p>
    <w:p w14:paraId="00910E0F" w14:textId="77777777" w:rsidR="00690BA0" w:rsidRDefault="00690BA0" w:rsidP="00690BA0">
      <w:pPr>
        <w:spacing w:line="276" w:lineRule="auto"/>
        <w:jc w:val="center"/>
      </w:pPr>
    </w:p>
    <w:p w14:paraId="57D50E9E" w14:textId="77777777" w:rsidR="00690BA0" w:rsidRDefault="00690BA0" w:rsidP="00690BA0">
      <w:pPr>
        <w:spacing w:line="276" w:lineRule="auto"/>
        <w:jc w:val="center"/>
      </w:pPr>
      <w:r>
        <w:rPr>
          <w:noProof/>
        </w:rPr>
        <w:drawing>
          <wp:inline distT="0" distB="0" distL="0" distR="0" wp14:anchorId="6FCCC467" wp14:editId="1D97990F">
            <wp:extent cx="1800225" cy="2343150"/>
            <wp:effectExtent l="0" t="0" r="9525" b="0"/>
            <wp:docPr id="1476434489" name="Obrázek 1" descr="Popis: Logo_ma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431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39EB3F2" w14:textId="77777777" w:rsidR="00690BA0" w:rsidRDefault="00690BA0" w:rsidP="00690BA0">
      <w:pPr>
        <w:spacing w:line="276" w:lineRule="auto"/>
        <w:jc w:val="center"/>
      </w:pPr>
    </w:p>
    <w:p w14:paraId="1A6A031D" w14:textId="77777777" w:rsidR="00690BA0" w:rsidRDefault="00690BA0" w:rsidP="00690BA0">
      <w:pPr>
        <w:spacing w:after="240" w:line="276" w:lineRule="auto"/>
        <w:jc w:val="center"/>
        <w:rPr>
          <w:b/>
          <w:sz w:val="32"/>
        </w:rPr>
      </w:pPr>
      <w:r>
        <w:rPr>
          <w:b/>
          <w:sz w:val="32"/>
        </w:rPr>
        <w:t>Město Dačice</w:t>
      </w:r>
    </w:p>
    <w:p w14:paraId="70062BDA" w14:textId="77777777" w:rsidR="00690BA0" w:rsidRDefault="00690BA0" w:rsidP="00690BA0">
      <w:pPr>
        <w:spacing w:line="276" w:lineRule="auto"/>
        <w:jc w:val="center"/>
        <w:rPr>
          <w:b/>
          <w:caps/>
          <w:sz w:val="40"/>
        </w:rPr>
      </w:pPr>
      <w:r>
        <w:rPr>
          <w:b/>
          <w:caps/>
          <w:sz w:val="40"/>
        </w:rPr>
        <w:t>Obecně závazná vyhláška</w:t>
      </w:r>
    </w:p>
    <w:p w14:paraId="3473BEF4" w14:textId="0D00138A" w:rsidR="00F04854" w:rsidRDefault="00690BA0" w:rsidP="00690BA0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 </w:t>
      </w:r>
      <w:r w:rsidR="00822B40">
        <w:rPr>
          <w:b/>
          <w:bCs/>
          <w:sz w:val="32"/>
          <w:szCs w:val="32"/>
        </w:rPr>
        <w:t>stanovení koeficient</w:t>
      </w:r>
      <w:r w:rsidR="00385B6B">
        <w:rPr>
          <w:b/>
          <w:bCs/>
          <w:sz w:val="32"/>
          <w:szCs w:val="32"/>
        </w:rPr>
        <w:t>ů</w:t>
      </w:r>
      <w:r w:rsidR="00822B40">
        <w:rPr>
          <w:b/>
          <w:bCs/>
          <w:sz w:val="32"/>
          <w:szCs w:val="32"/>
        </w:rPr>
        <w:t xml:space="preserve"> </w:t>
      </w:r>
      <w:r w:rsidR="00385B6B">
        <w:rPr>
          <w:b/>
          <w:bCs/>
          <w:sz w:val="32"/>
          <w:szCs w:val="32"/>
        </w:rPr>
        <w:t>daně z nemovitých věcí</w:t>
      </w:r>
      <w:r w:rsidR="00822B40">
        <w:rPr>
          <w:b/>
          <w:bCs/>
          <w:sz w:val="32"/>
          <w:szCs w:val="32"/>
        </w:rPr>
        <w:t xml:space="preserve"> </w:t>
      </w:r>
    </w:p>
    <w:p w14:paraId="55311054" w14:textId="77777777" w:rsidR="00690BA0" w:rsidRDefault="00690BA0" w:rsidP="00690BA0">
      <w:pPr>
        <w:spacing w:after="360" w:line="276" w:lineRule="auto"/>
        <w:jc w:val="center"/>
        <w:rPr>
          <w:b/>
          <w:bCs/>
          <w:sz w:val="32"/>
          <w:szCs w:val="32"/>
        </w:rPr>
      </w:pPr>
    </w:p>
    <w:p w14:paraId="564C3A96" w14:textId="77777777" w:rsidR="00690BA0" w:rsidRDefault="00690BA0" w:rsidP="00690BA0">
      <w:pPr>
        <w:spacing w:line="276" w:lineRule="auto"/>
        <w:rPr>
          <w:sz w:val="16"/>
          <w:szCs w:val="16"/>
        </w:rPr>
      </w:pPr>
    </w:p>
    <w:p w14:paraId="45705EB0" w14:textId="77777777" w:rsidR="00690BA0" w:rsidRDefault="00690BA0" w:rsidP="00690BA0">
      <w:pPr>
        <w:pStyle w:val="Nzev"/>
        <w:rPr>
          <w:rFonts w:ascii="Times New Roman" w:hAnsi="Times New Roman" w:cs="Times New Roman"/>
        </w:rPr>
      </w:pPr>
    </w:p>
    <w:p w14:paraId="02ED69BF" w14:textId="77777777" w:rsidR="00690BA0" w:rsidRDefault="00690BA0" w:rsidP="00690BA0">
      <w:pPr>
        <w:pStyle w:val="Textbody"/>
      </w:pPr>
    </w:p>
    <w:p w14:paraId="68FE75C3" w14:textId="77777777" w:rsidR="00690BA0" w:rsidRDefault="00690BA0" w:rsidP="00690BA0">
      <w:pPr>
        <w:pStyle w:val="Textbody"/>
      </w:pPr>
    </w:p>
    <w:p w14:paraId="04F8AE96" w14:textId="77777777" w:rsidR="00690BA0" w:rsidRDefault="00690BA0" w:rsidP="00690BA0">
      <w:pPr>
        <w:pStyle w:val="Textbody"/>
      </w:pPr>
    </w:p>
    <w:p w14:paraId="534E5475" w14:textId="77777777" w:rsidR="00690BA0" w:rsidRDefault="00690BA0" w:rsidP="00690BA0">
      <w:pPr>
        <w:pStyle w:val="Textbody"/>
      </w:pPr>
    </w:p>
    <w:p w14:paraId="7F0AED88" w14:textId="77777777" w:rsidR="00690BA0" w:rsidRDefault="00690BA0" w:rsidP="00690BA0">
      <w:pPr>
        <w:pStyle w:val="Textbody"/>
      </w:pPr>
    </w:p>
    <w:p w14:paraId="61478339" w14:textId="77777777" w:rsidR="00690BA0" w:rsidRDefault="00690BA0" w:rsidP="00690BA0">
      <w:pPr>
        <w:pStyle w:val="Textbody"/>
      </w:pPr>
    </w:p>
    <w:p w14:paraId="0F8215A0" w14:textId="77777777" w:rsidR="00690BA0" w:rsidRDefault="00690BA0" w:rsidP="00690BA0">
      <w:pPr>
        <w:pStyle w:val="Textbody"/>
      </w:pPr>
    </w:p>
    <w:p w14:paraId="0C844E87" w14:textId="77777777" w:rsidR="00690BA0" w:rsidRDefault="00690BA0" w:rsidP="00690BA0">
      <w:pPr>
        <w:pStyle w:val="Nze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Město Dačice</w:t>
      </w:r>
      <w:r>
        <w:rPr>
          <w:rFonts w:ascii="Times New Roman" w:hAnsi="Times New Roman" w:cs="Times New Roman"/>
        </w:rPr>
        <w:br/>
        <w:t>Zastupitelstvo města Dačice</w:t>
      </w:r>
    </w:p>
    <w:p w14:paraId="4AC55BBF" w14:textId="74277DCC" w:rsidR="00690BA0" w:rsidRDefault="00690BA0" w:rsidP="00690BA0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města Dačice</w:t>
      </w:r>
      <w:r>
        <w:rPr>
          <w:rFonts w:ascii="Times New Roman" w:hAnsi="Times New Roman" w:cs="Times New Roman"/>
        </w:rPr>
        <w:br/>
      </w:r>
      <w:r w:rsidR="00385B6B">
        <w:rPr>
          <w:rFonts w:ascii="Times New Roman" w:hAnsi="Times New Roman" w:cs="Times New Roman"/>
        </w:rPr>
        <w:t>o stanovení koeficientů daně z nemovitých věcí</w:t>
      </w:r>
    </w:p>
    <w:p w14:paraId="105D8BE7" w14:textId="16675242" w:rsidR="00690BA0" w:rsidRPr="00F63A77" w:rsidRDefault="00690BA0" w:rsidP="00690BA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F63A77">
        <w:rPr>
          <w:rFonts w:ascii="Times New Roman" w:hAnsi="Times New Roman" w:cs="Times New Roman"/>
          <w:sz w:val="24"/>
          <w:szCs w:val="24"/>
        </w:rPr>
        <w:t>Zastupitelstvo města Dačice se na svém zasedání dne </w:t>
      </w:r>
      <w:r w:rsidR="00A76E73">
        <w:rPr>
          <w:rFonts w:ascii="Times New Roman" w:hAnsi="Times New Roman" w:cs="Times New Roman"/>
          <w:sz w:val="24"/>
          <w:szCs w:val="24"/>
        </w:rPr>
        <w:t>20. 6. 2024</w:t>
      </w:r>
      <w:r w:rsidRPr="00F63A77">
        <w:rPr>
          <w:rFonts w:ascii="Times New Roman" w:hAnsi="Times New Roman" w:cs="Times New Roman"/>
          <w:sz w:val="24"/>
          <w:szCs w:val="24"/>
        </w:rPr>
        <w:t xml:space="preserve"> usneslo vydat na </w:t>
      </w:r>
      <w:r w:rsidR="00F63A77" w:rsidRPr="00F63A77">
        <w:rPr>
          <w:rFonts w:ascii="Times New Roman" w:hAnsi="Times New Roman" w:cs="Times New Roman"/>
          <w:sz w:val="24"/>
          <w:szCs w:val="24"/>
        </w:rPr>
        <w:t xml:space="preserve">základě </w:t>
      </w:r>
      <w:r w:rsidR="00822B40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1938AA">
        <w:rPr>
          <w:rFonts w:ascii="Times New Roman" w:hAnsi="Times New Roman" w:cs="Times New Roman"/>
          <w:sz w:val="24"/>
          <w:szCs w:val="24"/>
        </w:rPr>
        <w:t xml:space="preserve">§ 12 odst. 1 písm. a) a ustanovení § 11 odst. 5 </w:t>
      </w:r>
      <w:r w:rsidR="00F63A77" w:rsidRPr="00F63A77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822B40">
        <w:rPr>
          <w:rFonts w:ascii="Times New Roman" w:hAnsi="Times New Roman" w:cs="Times New Roman"/>
          <w:sz w:val="24"/>
          <w:szCs w:val="24"/>
        </w:rPr>
        <w:t>338/1992</w:t>
      </w:r>
      <w:r w:rsidR="00B74408">
        <w:rPr>
          <w:rFonts w:ascii="Times New Roman" w:hAnsi="Times New Roman" w:cs="Times New Roman"/>
          <w:sz w:val="24"/>
          <w:szCs w:val="24"/>
        </w:rPr>
        <w:t> </w:t>
      </w:r>
      <w:r w:rsidR="00F63A77" w:rsidRPr="00F63A77">
        <w:rPr>
          <w:rFonts w:ascii="Times New Roman" w:hAnsi="Times New Roman" w:cs="Times New Roman"/>
          <w:sz w:val="24"/>
          <w:szCs w:val="24"/>
        </w:rPr>
        <w:t>Sb., o</w:t>
      </w:r>
      <w:r w:rsidR="00EC05DE">
        <w:rPr>
          <w:rFonts w:ascii="Times New Roman" w:hAnsi="Times New Roman" w:cs="Times New Roman"/>
          <w:sz w:val="24"/>
          <w:szCs w:val="24"/>
        </w:rPr>
        <w:t> </w:t>
      </w:r>
      <w:r w:rsidR="00822B40">
        <w:rPr>
          <w:rFonts w:ascii="Times New Roman" w:hAnsi="Times New Roman" w:cs="Times New Roman"/>
          <w:sz w:val="24"/>
          <w:szCs w:val="24"/>
        </w:rPr>
        <w:t>dani z nemovitostí</w:t>
      </w:r>
      <w:r w:rsidR="00F63A77" w:rsidRPr="00F63A77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="00EC05DE">
        <w:rPr>
          <w:rFonts w:ascii="Times New Roman" w:hAnsi="Times New Roman" w:cs="Times New Roman"/>
          <w:sz w:val="24"/>
          <w:szCs w:val="24"/>
        </w:rPr>
        <w:t xml:space="preserve"> („dále též jen „zákona o dani z nemovitých věcí“) </w:t>
      </w:r>
      <w:r w:rsidR="00F63A77" w:rsidRPr="00F63A77">
        <w:rPr>
          <w:rFonts w:ascii="Times New Roman" w:hAnsi="Times New Roman" w:cs="Times New Roman"/>
          <w:sz w:val="24"/>
          <w:szCs w:val="24"/>
        </w:rPr>
        <w:t>a v souladu s</w:t>
      </w:r>
      <w:r w:rsidR="00822B40">
        <w:rPr>
          <w:rFonts w:ascii="Times New Roman" w:hAnsi="Times New Roman" w:cs="Times New Roman"/>
          <w:sz w:val="24"/>
          <w:szCs w:val="24"/>
        </w:rPr>
        <w:t xml:space="preserve"> ustanoveními</w:t>
      </w:r>
      <w:r w:rsidR="00F63A77" w:rsidRPr="00F63A77">
        <w:rPr>
          <w:rFonts w:ascii="Times New Roman" w:hAnsi="Times New Roman" w:cs="Times New Roman"/>
          <w:sz w:val="24"/>
          <w:szCs w:val="24"/>
        </w:rPr>
        <w:t xml:space="preserve"> § 10 písm. d) a § 84 odst. 2 písm. h) zákona č. 128/2000 Sb., o obcích (</w:t>
      </w:r>
      <w:r w:rsidR="00EC05DE">
        <w:rPr>
          <w:rFonts w:ascii="Times New Roman" w:hAnsi="Times New Roman" w:cs="Times New Roman"/>
          <w:sz w:val="24"/>
          <w:szCs w:val="24"/>
        </w:rPr>
        <w:t>dále též jen „zákon o obcích“</w:t>
      </w:r>
      <w:r w:rsidR="00F63A77" w:rsidRPr="00F63A77">
        <w:rPr>
          <w:rFonts w:ascii="Times New Roman" w:hAnsi="Times New Roman" w:cs="Times New Roman"/>
          <w:sz w:val="24"/>
          <w:szCs w:val="24"/>
        </w:rPr>
        <w:t xml:space="preserve">), ve znění pozdějších předpisů, tuto obecně závaznou vyhlášku (dále </w:t>
      </w:r>
      <w:r w:rsidR="00EC05DE">
        <w:rPr>
          <w:rFonts w:ascii="Times New Roman" w:hAnsi="Times New Roman" w:cs="Times New Roman"/>
          <w:sz w:val="24"/>
          <w:szCs w:val="24"/>
        </w:rPr>
        <w:t xml:space="preserve">též </w:t>
      </w:r>
      <w:r w:rsidR="00F63A77" w:rsidRPr="00F63A77">
        <w:rPr>
          <w:rFonts w:ascii="Times New Roman" w:hAnsi="Times New Roman" w:cs="Times New Roman"/>
          <w:sz w:val="24"/>
          <w:szCs w:val="24"/>
        </w:rPr>
        <w:t>jen „vyhláška“)</w:t>
      </w:r>
      <w:r w:rsidR="00F63A77">
        <w:rPr>
          <w:rFonts w:ascii="Times New Roman" w:hAnsi="Times New Roman" w:cs="Times New Roman"/>
          <w:sz w:val="24"/>
          <w:szCs w:val="24"/>
        </w:rPr>
        <w:t>:</w:t>
      </w:r>
    </w:p>
    <w:p w14:paraId="76056C2F" w14:textId="77777777" w:rsidR="00FD0D5A" w:rsidRDefault="00FD0D5A" w:rsidP="00FD0D5A">
      <w:pPr>
        <w:pStyle w:val="Default"/>
      </w:pPr>
    </w:p>
    <w:p w14:paraId="2A3A57F8" w14:textId="2A7B7349" w:rsidR="00FD0D5A" w:rsidRDefault="00FD0D5A" w:rsidP="00F63A77">
      <w:pPr>
        <w:pStyle w:val="Default"/>
        <w:rPr>
          <w:sz w:val="23"/>
          <w:szCs w:val="23"/>
        </w:rPr>
      </w:pPr>
    </w:p>
    <w:p w14:paraId="1B4D9A84" w14:textId="5D027243" w:rsidR="00FD0D5A" w:rsidRPr="00925486" w:rsidRDefault="00FD0D5A" w:rsidP="00F63A77">
      <w:pPr>
        <w:pStyle w:val="Default"/>
        <w:jc w:val="center"/>
      </w:pPr>
      <w:r w:rsidRPr="00925486">
        <w:rPr>
          <w:b/>
          <w:bCs/>
        </w:rPr>
        <w:t>Čl. 1</w:t>
      </w:r>
    </w:p>
    <w:p w14:paraId="5559E819" w14:textId="77777777" w:rsidR="00EC05DE" w:rsidRDefault="00B706BC" w:rsidP="00B706BC">
      <w:pPr>
        <w:pStyle w:val="Default"/>
        <w:jc w:val="center"/>
        <w:rPr>
          <w:b/>
          <w:bCs/>
        </w:rPr>
      </w:pPr>
      <w:r>
        <w:rPr>
          <w:b/>
          <w:bCs/>
        </w:rPr>
        <w:t>Koeficient podle počtu obyvatel</w:t>
      </w:r>
    </w:p>
    <w:p w14:paraId="3ACBA8F0" w14:textId="32392554" w:rsidR="0014036F" w:rsidRDefault="00EC05DE" w:rsidP="00B706BC">
      <w:pPr>
        <w:pStyle w:val="Default"/>
        <w:jc w:val="center"/>
        <w:rPr>
          <w:b/>
          <w:bCs/>
        </w:rPr>
      </w:pPr>
      <w:r>
        <w:rPr>
          <w:b/>
          <w:bCs/>
        </w:rPr>
        <w:t>podle ustanovení § 11 odst. 4 zákona o dani z nemovitých věcí</w:t>
      </w:r>
    </w:p>
    <w:p w14:paraId="725BC61F" w14:textId="77777777" w:rsidR="001938AA" w:rsidRDefault="001938AA" w:rsidP="00B706BC">
      <w:pPr>
        <w:pStyle w:val="Default"/>
        <w:jc w:val="center"/>
        <w:rPr>
          <w:b/>
          <w:bCs/>
        </w:rPr>
      </w:pPr>
    </w:p>
    <w:p w14:paraId="350D2F62" w14:textId="76906C1B" w:rsidR="00EC05DE" w:rsidRDefault="00EC05DE" w:rsidP="00EC05DE">
      <w:p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 xml:space="preserve">Koeficient pro násobení základní sazby daně u staveb </w:t>
      </w:r>
      <w:r w:rsidR="00385B6B">
        <w:rPr>
          <w:rFonts w:ascii="Times New Roman" w:hAnsi="Times New Roman" w:cs="Times New Roman"/>
        </w:rPr>
        <w:t xml:space="preserve">a jednotek </w:t>
      </w:r>
      <w:r w:rsidRPr="00EC05DE">
        <w:rPr>
          <w:rFonts w:ascii="Times New Roman" w:hAnsi="Times New Roman" w:cs="Times New Roman"/>
        </w:rPr>
        <w:t>podle ustanovení</w:t>
      </w:r>
      <w:r w:rsidR="00385B6B">
        <w:rPr>
          <w:rFonts w:ascii="Times New Roman" w:hAnsi="Times New Roman" w:cs="Times New Roman"/>
        </w:rPr>
        <w:t>:</w:t>
      </w:r>
      <w:r w:rsidRPr="00EC05DE">
        <w:rPr>
          <w:rFonts w:ascii="Times New Roman" w:hAnsi="Times New Roman" w:cs="Times New Roman"/>
        </w:rPr>
        <w:t xml:space="preserve"> </w:t>
      </w:r>
    </w:p>
    <w:p w14:paraId="6A19AE2F" w14:textId="77777777" w:rsidR="00EC05DE" w:rsidRPr="00EC05DE" w:rsidRDefault="00EC05DE" w:rsidP="00EC05DE">
      <w:pPr>
        <w:jc w:val="both"/>
        <w:rPr>
          <w:rFonts w:ascii="Times New Roman" w:hAnsi="Times New Roman" w:cs="Times New Roman"/>
        </w:rPr>
      </w:pPr>
    </w:p>
    <w:p w14:paraId="55DF837D" w14:textId="52139C21" w:rsidR="00EC05DE" w:rsidRPr="00EC05DE" w:rsidRDefault="00EC05DE" w:rsidP="00EC05D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>§ 11 odst. 1 písm. a) – budovy obytného domu zařazené ve skupině obytných budov podle § 10a odst. 1 písm. a) zákona o dani z nemovitých věcí</w:t>
      </w:r>
      <w:r>
        <w:rPr>
          <w:rFonts w:ascii="Times New Roman" w:hAnsi="Times New Roman" w:cs="Times New Roman"/>
        </w:rPr>
        <w:t>,</w:t>
      </w:r>
    </w:p>
    <w:p w14:paraId="7AC437C9" w14:textId="55598490" w:rsidR="00EC05DE" w:rsidRPr="00EC05DE" w:rsidRDefault="00EC05DE" w:rsidP="00EC05D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>§ 11 odst. 1 písm. b) – jiné budovy zařazené ve skupině obytných budov než budovy obytného domu, a to z výměry přesahující 16 m2 zastavěné plochy podle § 10a odst. 1 písm. a) zákona o dani z nemovitých věcí</w:t>
      </w:r>
      <w:r>
        <w:rPr>
          <w:rFonts w:ascii="Times New Roman" w:hAnsi="Times New Roman" w:cs="Times New Roman"/>
        </w:rPr>
        <w:t>,</w:t>
      </w:r>
    </w:p>
    <w:p w14:paraId="549D1101" w14:textId="2744D6F0" w:rsidR="00EC05DE" w:rsidRDefault="00EC05DE" w:rsidP="00EC05D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>§ 11 odst. 1 písm. j) – zdanitelné jednotky zařazené ve skupině ostatních zdanitelných jednotek podle § 10a odst. 1 písm. h) zákona o dani z nemovitých věcí,</w:t>
      </w:r>
    </w:p>
    <w:p w14:paraId="2C7977BE" w14:textId="77777777" w:rsidR="00EC05DE" w:rsidRPr="00EC05DE" w:rsidRDefault="00EC05DE" w:rsidP="00EC05DE">
      <w:pPr>
        <w:pStyle w:val="Odstavecseseznamem"/>
        <w:jc w:val="both"/>
        <w:rPr>
          <w:rFonts w:ascii="Times New Roman" w:hAnsi="Times New Roman" w:cs="Times New Roman"/>
        </w:rPr>
      </w:pPr>
    </w:p>
    <w:p w14:paraId="28A23E4A" w14:textId="77777777" w:rsidR="00EC05DE" w:rsidRPr="00EC05DE" w:rsidRDefault="00EC05DE" w:rsidP="00EC05DE">
      <w:p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>případně zvýšené u staveb podle § 11 odst. 2 se pro celé katastrální území Dačice v souladu s ustanovením § 11 odst. 5 zákona o dani z nemovitých věcí</w:t>
      </w:r>
    </w:p>
    <w:p w14:paraId="733C5813" w14:textId="77777777" w:rsidR="00EC05DE" w:rsidRPr="00EC05DE" w:rsidRDefault="00EC05DE" w:rsidP="00EC05DE">
      <w:pPr>
        <w:rPr>
          <w:rFonts w:ascii="Times New Roman" w:hAnsi="Times New Roman" w:cs="Times New Roman"/>
        </w:rPr>
      </w:pPr>
    </w:p>
    <w:p w14:paraId="6D0BBDC5" w14:textId="4AF37536" w:rsidR="00EC05DE" w:rsidRPr="00EC05DE" w:rsidRDefault="00EC05DE" w:rsidP="00EC05DE">
      <w:pPr>
        <w:jc w:val="center"/>
        <w:rPr>
          <w:rFonts w:ascii="Times New Roman" w:hAnsi="Times New Roman" w:cs="Times New Roman"/>
          <w:b/>
          <w:bCs/>
        </w:rPr>
      </w:pPr>
      <w:r w:rsidRPr="00EC05DE">
        <w:rPr>
          <w:rFonts w:ascii="Times New Roman" w:hAnsi="Times New Roman" w:cs="Times New Roman"/>
          <w:b/>
          <w:bCs/>
        </w:rPr>
        <w:t>stanovuje na hodnotu 2,0</w:t>
      </w:r>
      <w:r>
        <w:rPr>
          <w:rFonts w:ascii="Times New Roman" w:hAnsi="Times New Roman" w:cs="Times New Roman"/>
          <w:b/>
          <w:bCs/>
        </w:rPr>
        <w:t>.</w:t>
      </w:r>
    </w:p>
    <w:p w14:paraId="0FEC747A" w14:textId="77777777" w:rsidR="00FD0D5A" w:rsidRPr="00925486" w:rsidRDefault="00FD0D5A" w:rsidP="00FD0D5A">
      <w:pPr>
        <w:pStyle w:val="Default"/>
      </w:pPr>
    </w:p>
    <w:p w14:paraId="263DA101" w14:textId="77777777" w:rsidR="00F63A77" w:rsidRPr="00925486" w:rsidRDefault="00F63A77" w:rsidP="00FD0D5A">
      <w:pPr>
        <w:pStyle w:val="Default"/>
      </w:pPr>
    </w:p>
    <w:p w14:paraId="2EA545FE" w14:textId="2DA63230" w:rsidR="00FD0D5A" w:rsidRDefault="00FD0D5A" w:rsidP="0014036F">
      <w:pPr>
        <w:pStyle w:val="Default"/>
        <w:jc w:val="center"/>
      </w:pPr>
      <w:r w:rsidRPr="00925486">
        <w:rPr>
          <w:b/>
          <w:bCs/>
        </w:rPr>
        <w:t>Čl. 2</w:t>
      </w:r>
    </w:p>
    <w:p w14:paraId="4403EF7B" w14:textId="4CDCDCC8" w:rsidR="0014036F" w:rsidRDefault="00B706BC" w:rsidP="0014036F">
      <w:pPr>
        <w:pStyle w:val="Default"/>
        <w:jc w:val="center"/>
        <w:rPr>
          <w:b/>
          <w:bCs/>
        </w:rPr>
      </w:pPr>
      <w:r w:rsidRPr="00B706BC">
        <w:rPr>
          <w:b/>
          <w:bCs/>
        </w:rPr>
        <w:t>Místní koeficient</w:t>
      </w:r>
    </w:p>
    <w:p w14:paraId="543F2E2E" w14:textId="0BA9A3DB" w:rsidR="001938AA" w:rsidRPr="00EC05DE" w:rsidRDefault="00EC05DE" w:rsidP="0014036F">
      <w:pPr>
        <w:pStyle w:val="Default"/>
        <w:jc w:val="center"/>
        <w:rPr>
          <w:b/>
          <w:bCs/>
        </w:rPr>
      </w:pPr>
      <w:r w:rsidRPr="00EC05DE">
        <w:rPr>
          <w:b/>
          <w:bCs/>
        </w:rPr>
        <w:t>podle ustanovení § 12 odst. 1 písm. a) zákona o dani z nemovitých věcí</w:t>
      </w:r>
    </w:p>
    <w:p w14:paraId="3FC4DC88" w14:textId="77777777" w:rsidR="00EC05DE" w:rsidRPr="00B706BC" w:rsidRDefault="00EC05DE" w:rsidP="0014036F">
      <w:pPr>
        <w:pStyle w:val="Default"/>
        <w:jc w:val="center"/>
        <w:rPr>
          <w:b/>
          <w:bCs/>
        </w:rPr>
      </w:pPr>
    </w:p>
    <w:p w14:paraId="1A809E9E" w14:textId="55A73F03" w:rsidR="00EC05DE" w:rsidRPr="00EC05DE" w:rsidRDefault="00EC05DE" w:rsidP="00EC05DE">
      <w:p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>Město Dačice stanovuje místní koeficient v souladu s ustanovením § 12 odst. 1 písm. a)</w:t>
      </w:r>
      <w:r w:rsidR="00F93935">
        <w:rPr>
          <w:rFonts w:ascii="Times New Roman" w:hAnsi="Times New Roman" w:cs="Times New Roman"/>
        </w:rPr>
        <w:t xml:space="preserve"> </w:t>
      </w:r>
      <w:r w:rsidR="00F93935" w:rsidRPr="002051CA">
        <w:rPr>
          <w:rFonts w:ascii="Times New Roman" w:hAnsi="Times New Roman" w:cs="Times New Roman"/>
        </w:rPr>
        <w:t>bodu 4</w:t>
      </w:r>
      <w:r w:rsidRPr="00EC05DE">
        <w:rPr>
          <w:rFonts w:ascii="Times New Roman" w:hAnsi="Times New Roman" w:cs="Times New Roman"/>
        </w:rPr>
        <w:t xml:space="preserve"> zákona o dani z nemovitých věcí pro jednotlivé skupiny </w:t>
      </w:r>
      <w:r w:rsidR="00385B6B">
        <w:rPr>
          <w:rFonts w:ascii="Times New Roman" w:hAnsi="Times New Roman" w:cs="Times New Roman"/>
        </w:rPr>
        <w:t>nemovitých věcí</w:t>
      </w:r>
      <w:r w:rsidRPr="00EC05DE">
        <w:rPr>
          <w:rFonts w:ascii="Times New Roman" w:hAnsi="Times New Roman" w:cs="Times New Roman"/>
        </w:rPr>
        <w:t xml:space="preserve"> podle ustanovení</w:t>
      </w:r>
      <w:r w:rsidR="00385B6B">
        <w:rPr>
          <w:rFonts w:ascii="Times New Roman" w:hAnsi="Times New Roman" w:cs="Times New Roman"/>
        </w:rPr>
        <w:t>:</w:t>
      </w:r>
    </w:p>
    <w:p w14:paraId="5351D6D5" w14:textId="77777777" w:rsidR="00EC05DE" w:rsidRPr="00EC05DE" w:rsidRDefault="00EC05DE" w:rsidP="00EC05DE">
      <w:pPr>
        <w:jc w:val="both"/>
        <w:rPr>
          <w:rFonts w:ascii="Times New Roman" w:hAnsi="Times New Roman" w:cs="Times New Roman"/>
        </w:rPr>
      </w:pPr>
    </w:p>
    <w:p w14:paraId="22932D76" w14:textId="7E4D2123" w:rsidR="00EC05DE" w:rsidRPr="00EC05DE" w:rsidRDefault="00EC05DE" w:rsidP="00EC05D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>§ 10a odst. 1 písm. b) – skupina rekreačních budov zahrnující budovy pro rodinnou rekreaci a budovy s výjimkou budovy garáže, které plní doplňkovou funkci k rekreačním budovám</w:t>
      </w:r>
      <w:r>
        <w:rPr>
          <w:rFonts w:ascii="Times New Roman" w:hAnsi="Times New Roman" w:cs="Times New Roman"/>
        </w:rPr>
        <w:t>,</w:t>
      </w:r>
    </w:p>
    <w:p w14:paraId="0343D92B" w14:textId="6FFD280F" w:rsidR="00EC05DE" w:rsidRPr="00EC05DE" w:rsidRDefault="00EC05DE" w:rsidP="00EC05D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t>§ 10a odst. 1 písm. c) – skupina garáží zahrnující budovy garáže a zdanitelné jednotky, jejichž převažující část podlahové plochy je užívána jako garáž</w:t>
      </w:r>
      <w:r>
        <w:rPr>
          <w:rFonts w:ascii="Times New Roman" w:hAnsi="Times New Roman" w:cs="Times New Roman"/>
        </w:rPr>
        <w:t>,</w:t>
      </w:r>
    </w:p>
    <w:p w14:paraId="5CEEFD2B" w14:textId="77777777" w:rsidR="00EC05DE" w:rsidRPr="00EC05DE" w:rsidRDefault="00EC05DE" w:rsidP="00EC05DE">
      <w:pPr>
        <w:ind w:left="705" w:hanging="705"/>
        <w:jc w:val="both"/>
        <w:rPr>
          <w:rFonts w:ascii="Times New Roman" w:hAnsi="Times New Roman" w:cs="Times New Roman"/>
        </w:rPr>
      </w:pPr>
    </w:p>
    <w:p w14:paraId="57733D74" w14:textId="5DF6BA76" w:rsidR="00EC05DE" w:rsidRPr="00EC05DE" w:rsidRDefault="00EC05DE" w:rsidP="00EC05DE">
      <w:pPr>
        <w:ind w:left="705" w:hanging="705"/>
        <w:jc w:val="center"/>
        <w:rPr>
          <w:rFonts w:ascii="Times New Roman" w:hAnsi="Times New Roman" w:cs="Times New Roman"/>
          <w:b/>
          <w:bCs/>
        </w:rPr>
      </w:pPr>
      <w:r w:rsidRPr="00EC05DE">
        <w:rPr>
          <w:rFonts w:ascii="Times New Roman" w:hAnsi="Times New Roman" w:cs="Times New Roman"/>
          <w:b/>
          <w:bCs/>
        </w:rPr>
        <w:t>na hodnotu 1,5</w:t>
      </w:r>
      <w:r>
        <w:rPr>
          <w:rFonts w:ascii="Times New Roman" w:hAnsi="Times New Roman" w:cs="Times New Roman"/>
          <w:b/>
          <w:bCs/>
        </w:rPr>
        <w:t>.</w:t>
      </w:r>
    </w:p>
    <w:p w14:paraId="7B096C05" w14:textId="77777777" w:rsidR="00EC05DE" w:rsidRPr="00EC05DE" w:rsidRDefault="00EC05DE" w:rsidP="00EC05DE">
      <w:pPr>
        <w:ind w:left="705" w:hanging="705"/>
        <w:rPr>
          <w:rFonts w:ascii="Times New Roman" w:hAnsi="Times New Roman" w:cs="Times New Roman"/>
        </w:rPr>
      </w:pPr>
    </w:p>
    <w:p w14:paraId="3381F6B3" w14:textId="7B18F02C" w:rsidR="00EC05DE" w:rsidRPr="00EC05DE" w:rsidRDefault="00EC05DE" w:rsidP="00EC05DE">
      <w:pPr>
        <w:jc w:val="both"/>
        <w:rPr>
          <w:rFonts w:ascii="Times New Roman" w:hAnsi="Times New Roman" w:cs="Times New Roman"/>
        </w:rPr>
      </w:pPr>
      <w:r w:rsidRPr="00EC05DE">
        <w:rPr>
          <w:rFonts w:ascii="Times New Roman" w:hAnsi="Times New Roman" w:cs="Times New Roman"/>
        </w:rPr>
        <w:lastRenderedPageBreak/>
        <w:t>Místní koeficient pro jednotlivou skupinu nemovitých věcí se vztahuje na všechny nemovité věci dané skupiny nemovitých věcí na území celého města (</w:t>
      </w:r>
      <w:r>
        <w:rPr>
          <w:rFonts w:ascii="Times New Roman" w:hAnsi="Times New Roman" w:cs="Times New Roman"/>
        </w:rPr>
        <w:t xml:space="preserve">ustanovení </w:t>
      </w:r>
      <w:r w:rsidRPr="00EC05DE">
        <w:rPr>
          <w:rFonts w:ascii="Times New Roman" w:hAnsi="Times New Roman" w:cs="Times New Roman"/>
        </w:rPr>
        <w:t>§ 12 odst. 1 písm. a) zákona o dani z nemovitých věcí).</w:t>
      </w:r>
    </w:p>
    <w:p w14:paraId="60EEDE25" w14:textId="77777777" w:rsidR="003E4969" w:rsidRPr="00EC05DE" w:rsidRDefault="003E4969" w:rsidP="00FD0D5A">
      <w:pPr>
        <w:pStyle w:val="Default"/>
      </w:pPr>
    </w:p>
    <w:p w14:paraId="12D311D6" w14:textId="77777777" w:rsidR="00BD65E9" w:rsidRPr="00EC05DE" w:rsidRDefault="00BD65E9" w:rsidP="00FD0D5A">
      <w:pPr>
        <w:pStyle w:val="Default"/>
      </w:pPr>
    </w:p>
    <w:p w14:paraId="3691EC38" w14:textId="77777777" w:rsidR="00FD0D5A" w:rsidRDefault="00FD0D5A" w:rsidP="00FD0D5A">
      <w:pPr>
        <w:pStyle w:val="Default"/>
        <w:rPr>
          <w:sz w:val="23"/>
          <w:szCs w:val="23"/>
        </w:rPr>
      </w:pPr>
    </w:p>
    <w:p w14:paraId="171FF0AB" w14:textId="34C488D9" w:rsidR="00FD0D5A" w:rsidRPr="007206E0" w:rsidRDefault="00FD0D5A" w:rsidP="003E4969">
      <w:pPr>
        <w:pStyle w:val="Default"/>
        <w:jc w:val="center"/>
      </w:pPr>
      <w:r w:rsidRPr="007206E0">
        <w:rPr>
          <w:b/>
          <w:bCs/>
        </w:rPr>
        <w:t xml:space="preserve">Čl. </w:t>
      </w:r>
      <w:r w:rsidR="0014036F">
        <w:rPr>
          <w:b/>
          <w:bCs/>
        </w:rPr>
        <w:t>3</w:t>
      </w:r>
    </w:p>
    <w:p w14:paraId="3F609F2C" w14:textId="0CDFDC2B" w:rsidR="00FD0D5A" w:rsidRDefault="00FD0D5A" w:rsidP="003E4969">
      <w:pPr>
        <w:pStyle w:val="Default"/>
        <w:jc w:val="center"/>
        <w:rPr>
          <w:b/>
          <w:bCs/>
        </w:rPr>
      </w:pPr>
      <w:r w:rsidRPr="007206E0">
        <w:rPr>
          <w:b/>
          <w:bCs/>
        </w:rPr>
        <w:t>Závěrečná ustanovení</w:t>
      </w:r>
    </w:p>
    <w:p w14:paraId="7EB69880" w14:textId="77777777" w:rsidR="001938AA" w:rsidRPr="007206E0" w:rsidRDefault="001938AA" w:rsidP="003E4969">
      <w:pPr>
        <w:pStyle w:val="Default"/>
        <w:jc w:val="center"/>
      </w:pPr>
    </w:p>
    <w:p w14:paraId="78C726A9" w14:textId="604AE22D" w:rsidR="00FD0D5A" w:rsidRPr="007206E0" w:rsidRDefault="00FD0D5A" w:rsidP="00FD0D5A">
      <w:pPr>
        <w:pStyle w:val="Default"/>
        <w:spacing w:after="28"/>
      </w:pPr>
      <w:r w:rsidRPr="007206E0">
        <w:t xml:space="preserve">1) Tato vyhláška nabývá účinnosti </w:t>
      </w:r>
      <w:r w:rsidR="00F04854">
        <w:t>dne 1. ledna 2025</w:t>
      </w:r>
      <w:r w:rsidRPr="007206E0">
        <w:t xml:space="preserve">. </w:t>
      </w:r>
    </w:p>
    <w:p w14:paraId="0B230CC5" w14:textId="59877763" w:rsidR="00FD0D5A" w:rsidRPr="007206E0" w:rsidRDefault="00FD0D5A" w:rsidP="00FD0D5A">
      <w:pPr>
        <w:pStyle w:val="Default"/>
      </w:pPr>
      <w:r w:rsidRPr="007206E0">
        <w:t xml:space="preserve">2) </w:t>
      </w:r>
      <w:r w:rsidR="00385B6B" w:rsidRPr="00385B6B">
        <w:rPr>
          <w:rFonts w:eastAsia="Times New Roman"/>
        </w:rPr>
        <w:t>Touto vyhláškou se ruší obecně závazná vyhláška č. 1/2009 o stanovení koeficientu pro výpočet daně z nemovitostí u pozemků a staveb ze dne 24. 6. 2009</w:t>
      </w:r>
      <w:r w:rsidR="00F04854" w:rsidRPr="00385B6B">
        <w:t>.</w:t>
      </w:r>
    </w:p>
    <w:p w14:paraId="116A6CA6" w14:textId="77777777" w:rsidR="00245759" w:rsidRDefault="00245759" w:rsidP="0024575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3837AB8" w14:textId="77777777" w:rsidR="0014036F" w:rsidRDefault="0014036F" w:rsidP="0024575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2928C98" w14:textId="77777777" w:rsidR="0014036F" w:rsidRDefault="0014036F" w:rsidP="00245759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45759" w14:paraId="54A55A05" w14:textId="77777777" w:rsidTr="00CF48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6DE18" w14:textId="77777777" w:rsidR="00245759" w:rsidRDefault="00245759" w:rsidP="00CF48AC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Miloš Novák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304A0" w14:textId="77777777" w:rsidR="00245759" w:rsidRDefault="00245759" w:rsidP="00CF48AC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Jiří Baštář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5AADA048" w14:textId="77777777" w:rsidR="00FD0D5A" w:rsidRDefault="00FD0D5A" w:rsidP="00FD0D5A">
      <w:pPr>
        <w:pStyle w:val="Default"/>
        <w:rPr>
          <w:sz w:val="23"/>
          <w:szCs w:val="23"/>
        </w:rPr>
      </w:pPr>
    </w:p>
    <w:p w14:paraId="1CC504B7" w14:textId="77777777" w:rsidR="00F87FF8" w:rsidRDefault="00F87FF8" w:rsidP="00FD0D5A">
      <w:pPr>
        <w:pStyle w:val="Default"/>
        <w:rPr>
          <w:sz w:val="23"/>
          <w:szCs w:val="23"/>
        </w:rPr>
      </w:pPr>
    </w:p>
    <w:p w14:paraId="73C69264" w14:textId="77777777" w:rsidR="00F87FF8" w:rsidRDefault="00F87FF8" w:rsidP="00FD0D5A">
      <w:pPr>
        <w:pStyle w:val="Default"/>
        <w:rPr>
          <w:sz w:val="23"/>
          <w:szCs w:val="23"/>
        </w:rPr>
      </w:pPr>
    </w:p>
    <w:p w14:paraId="1781C221" w14:textId="77777777" w:rsidR="00F87FF8" w:rsidRDefault="00F87FF8" w:rsidP="00FD0D5A">
      <w:pPr>
        <w:pStyle w:val="Default"/>
        <w:rPr>
          <w:sz w:val="23"/>
          <w:szCs w:val="23"/>
        </w:rPr>
      </w:pPr>
    </w:p>
    <w:sectPr w:rsidR="00F87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ngti SC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118"/>
    <w:multiLevelType w:val="hybridMultilevel"/>
    <w:tmpl w:val="6BE23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D7518"/>
    <w:multiLevelType w:val="hybridMultilevel"/>
    <w:tmpl w:val="8E803EFE"/>
    <w:lvl w:ilvl="0" w:tplc="8DA693B2">
      <w:numFmt w:val="bullet"/>
      <w:lvlText w:val=""/>
      <w:lvlJc w:val="left"/>
      <w:pPr>
        <w:ind w:left="1065" w:hanging="705"/>
      </w:pPr>
      <w:rPr>
        <w:rFonts w:ascii="Wingdings" w:eastAsia="Songti SC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F01A7"/>
    <w:multiLevelType w:val="hybridMultilevel"/>
    <w:tmpl w:val="97A05FE0"/>
    <w:lvl w:ilvl="0" w:tplc="1D78EB5A">
      <w:numFmt w:val="bullet"/>
      <w:lvlText w:val=""/>
      <w:lvlJc w:val="left"/>
      <w:pPr>
        <w:ind w:left="1065" w:hanging="705"/>
      </w:pPr>
      <w:rPr>
        <w:rFonts w:ascii="Wingdings" w:eastAsia="Songti SC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01D96"/>
    <w:multiLevelType w:val="hybridMultilevel"/>
    <w:tmpl w:val="CF0A4F34"/>
    <w:lvl w:ilvl="0" w:tplc="2F4ABA98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862D85"/>
    <w:multiLevelType w:val="hybridMultilevel"/>
    <w:tmpl w:val="F9607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769272">
    <w:abstractNumId w:val="3"/>
  </w:num>
  <w:num w:numId="2" w16cid:durableId="502742785">
    <w:abstractNumId w:val="4"/>
  </w:num>
  <w:num w:numId="3" w16cid:durableId="1736389580">
    <w:abstractNumId w:val="1"/>
  </w:num>
  <w:num w:numId="4" w16cid:durableId="199586219">
    <w:abstractNumId w:val="0"/>
  </w:num>
  <w:num w:numId="5" w16cid:durableId="870337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F8"/>
    <w:rsid w:val="0002645F"/>
    <w:rsid w:val="000830B2"/>
    <w:rsid w:val="00132987"/>
    <w:rsid w:val="0014036F"/>
    <w:rsid w:val="001938AA"/>
    <w:rsid w:val="00195D93"/>
    <w:rsid w:val="002051CA"/>
    <w:rsid w:val="00245759"/>
    <w:rsid w:val="003246FA"/>
    <w:rsid w:val="00335E88"/>
    <w:rsid w:val="00366E9A"/>
    <w:rsid w:val="00385B6B"/>
    <w:rsid w:val="0039728A"/>
    <w:rsid w:val="003E4969"/>
    <w:rsid w:val="00414434"/>
    <w:rsid w:val="004709E8"/>
    <w:rsid w:val="00677B97"/>
    <w:rsid w:val="00690BA0"/>
    <w:rsid w:val="006A310A"/>
    <w:rsid w:val="007206E0"/>
    <w:rsid w:val="00730F4E"/>
    <w:rsid w:val="007E3820"/>
    <w:rsid w:val="00822B40"/>
    <w:rsid w:val="00925486"/>
    <w:rsid w:val="00930069"/>
    <w:rsid w:val="009915A2"/>
    <w:rsid w:val="00A0509D"/>
    <w:rsid w:val="00A70A08"/>
    <w:rsid w:val="00A725EF"/>
    <w:rsid w:val="00A76E73"/>
    <w:rsid w:val="00AD0CFF"/>
    <w:rsid w:val="00B706BC"/>
    <w:rsid w:val="00B74408"/>
    <w:rsid w:val="00BD65E9"/>
    <w:rsid w:val="00C13236"/>
    <w:rsid w:val="00C247CC"/>
    <w:rsid w:val="00D034F8"/>
    <w:rsid w:val="00D75152"/>
    <w:rsid w:val="00DA1B6C"/>
    <w:rsid w:val="00DA7339"/>
    <w:rsid w:val="00E67BF3"/>
    <w:rsid w:val="00EA3FCB"/>
    <w:rsid w:val="00EC05DE"/>
    <w:rsid w:val="00EC71EA"/>
    <w:rsid w:val="00EF2141"/>
    <w:rsid w:val="00F04854"/>
    <w:rsid w:val="00F6300D"/>
    <w:rsid w:val="00F63A77"/>
    <w:rsid w:val="00F87FF8"/>
    <w:rsid w:val="00F93935"/>
    <w:rsid w:val="00FB1305"/>
    <w:rsid w:val="00FD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7934"/>
  <w15:chartTrackingRefBased/>
  <w15:docId w15:val="{00929FC1-2B57-4DD9-9121-E12F7FE3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BA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Textbody"/>
    <w:link w:val="Nadpis1Char"/>
    <w:uiPriority w:val="9"/>
    <w:qFormat/>
    <w:rsid w:val="00690BA0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5486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D0D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90BA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Normln"/>
    <w:rsid w:val="00690BA0"/>
    <w:pPr>
      <w:spacing w:after="140" w:line="276" w:lineRule="auto"/>
    </w:pPr>
    <w:rPr>
      <w:rFonts w:ascii="Arial" w:eastAsia="Arial" w:hAnsi="Arial" w:cs="Arial"/>
    </w:rPr>
  </w:style>
  <w:style w:type="paragraph" w:styleId="Nzev">
    <w:name w:val="Title"/>
    <w:basedOn w:val="Normln"/>
    <w:next w:val="Textbody"/>
    <w:link w:val="NzevChar"/>
    <w:uiPriority w:val="10"/>
    <w:qFormat/>
    <w:rsid w:val="00690BA0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90BA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Textbody"/>
    <w:rsid w:val="00690BA0"/>
    <w:pPr>
      <w:spacing w:before="62" w:after="120"/>
      <w:jc w:val="both"/>
    </w:pPr>
    <w:rPr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5486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  <w14:ligatures w14:val="none"/>
    </w:rPr>
  </w:style>
  <w:style w:type="paragraph" w:customStyle="1" w:styleId="Odstavec">
    <w:name w:val="Odstavec"/>
    <w:basedOn w:val="Textbody"/>
    <w:rsid w:val="0092548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925486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EC05D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400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Eva JUDr.</dc:creator>
  <cp:keywords/>
  <dc:description/>
  <cp:lastModifiedBy>Škodová Eva JUDr.</cp:lastModifiedBy>
  <cp:revision>10</cp:revision>
  <cp:lastPrinted>2024-05-15T08:58:00Z</cp:lastPrinted>
  <dcterms:created xsi:type="dcterms:W3CDTF">2024-03-27T07:30:00Z</dcterms:created>
  <dcterms:modified xsi:type="dcterms:W3CDTF">2024-05-15T08:58:00Z</dcterms:modified>
</cp:coreProperties>
</file>