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D93A4" w14:textId="6785D30F" w:rsidR="0045148A" w:rsidRDefault="00000000">
      <w:pPr>
        <w:pStyle w:val="Standard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113A18">
        <w:rPr>
          <w:rFonts w:ascii="Arial" w:hAnsi="Arial" w:cs="Arial"/>
          <w:b/>
        </w:rPr>
        <w:t>Hroubovice</w:t>
      </w:r>
    </w:p>
    <w:p w14:paraId="0CF5D253" w14:textId="3406104D" w:rsidR="0045148A" w:rsidRDefault="00000000">
      <w:pPr>
        <w:pStyle w:val="Standard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113A18">
        <w:rPr>
          <w:rFonts w:ascii="Arial" w:hAnsi="Arial" w:cs="Arial"/>
          <w:b/>
        </w:rPr>
        <w:t>Hroubovice</w:t>
      </w:r>
    </w:p>
    <w:p w14:paraId="4D92622A" w14:textId="500B1540" w:rsidR="0045148A" w:rsidRDefault="00000000">
      <w:pPr>
        <w:pStyle w:val="Standard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113A18">
        <w:rPr>
          <w:rFonts w:ascii="Arial" w:hAnsi="Arial" w:cs="Arial"/>
          <w:b/>
        </w:rPr>
        <w:t>Hroubovice</w:t>
      </w:r>
      <w:r>
        <w:rPr>
          <w:rFonts w:ascii="Arial" w:hAnsi="Arial" w:cs="Arial"/>
          <w:b/>
        </w:rPr>
        <w:t>,</w:t>
      </w:r>
    </w:p>
    <w:p w14:paraId="03CCBEF3" w14:textId="77777777" w:rsidR="0045148A" w:rsidRDefault="00000000">
      <w:pPr>
        <w:pStyle w:val="NormlnIMP"/>
        <w:spacing w:before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 stanovení obecního systému odpadového hospodářství</w:t>
      </w:r>
    </w:p>
    <w:p w14:paraId="60C63403" w14:textId="77777777" w:rsidR="0045148A" w:rsidRDefault="0045148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EC638B9" w14:textId="17146C32" w:rsidR="0045148A" w:rsidRDefault="0000000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13A18">
        <w:rPr>
          <w:rFonts w:ascii="Arial" w:hAnsi="Arial" w:cs="Arial"/>
          <w:sz w:val="22"/>
          <w:szCs w:val="22"/>
        </w:rPr>
        <w:t>Hroubovice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113A18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.</w:t>
      </w:r>
      <w:r w:rsidR="00113A18">
        <w:rPr>
          <w:rFonts w:ascii="Arial" w:hAnsi="Arial" w:cs="Arial"/>
          <w:sz w:val="22"/>
          <w:szCs w:val="22"/>
        </w:rPr>
        <w:t>06</w:t>
      </w:r>
      <w:r>
        <w:rPr>
          <w:rFonts w:ascii="Arial" w:hAnsi="Arial" w:cs="Arial"/>
          <w:sz w:val="22"/>
          <w:szCs w:val="22"/>
        </w:rPr>
        <w:t>.202</w:t>
      </w:r>
      <w:r w:rsidR="00113A1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113A1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usneslo vydat na základě § 59 odst. 4 zákona č. 541/2020 Sb., o odpadech (dále jen „zákon </w:t>
      </w:r>
      <w:r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057ADEB0" w14:textId="77777777" w:rsidR="0045148A" w:rsidRDefault="00000000">
      <w:pPr>
        <w:pStyle w:val="Standard"/>
        <w:spacing w:before="5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5BDB25E" w14:textId="77777777" w:rsidR="0045148A" w:rsidRDefault="00000000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970B556" w14:textId="25CF9F07" w:rsidR="0045148A" w:rsidRDefault="00000000">
      <w:pPr>
        <w:pStyle w:val="Standard"/>
        <w:numPr>
          <w:ilvl w:val="0"/>
          <w:numId w:val="15"/>
        </w:numPr>
        <w:spacing w:before="1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stanovuje obecní systém odpadového hospodářství na území obce </w:t>
      </w:r>
      <w:r w:rsidR="00113A18">
        <w:rPr>
          <w:rFonts w:ascii="Arial" w:hAnsi="Arial" w:cs="Arial"/>
          <w:sz w:val="22"/>
          <w:szCs w:val="22"/>
        </w:rPr>
        <w:t>Hroubovice</w:t>
      </w:r>
    </w:p>
    <w:p w14:paraId="23E98161" w14:textId="77777777" w:rsidR="0045148A" w:rsidRDefault="00000000">
      <w:pPr>
        <w:pStyle w:val="Standard"/>
        <w:numPr>
          <w:ilvl w:val="0"/>
          <w:numId w:val="4"/>
        </w:numPr>
        <w:spacing w:before="170"/>
        <w:jc w:val="both"/>
      </w:pP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FootnoteSymbol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5015379C" w14:textId="77777777" w:rsidR="0045148A" w:rsidRDefault="00000000">
      <w:pPr>
        <w:pStyle w:val="Standard"/>
        <w:numPr>
          <w:ilvl w:val="0"/>
          <w:numId w:val="4"/>
        </w:numPr>
        <w:spacing w:before="170"/>
        <w:jc w:val="both"/>
      </w:pPr>
      <w:r>
        <w:rPr>
          <w:rFonts w:ascii="Arial" w:hAnsi="Arial" w:cs="Arial"/>
          <w:sz w:val="22"/>
          <w:szCs w:val="22"/>
        </w:rPr>
        <w:t>V okamžiku, kdy osoba zapojená do obecního systému odloží movitou věc nebo odpad,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FootnoteSymbol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</w:t>
      </w:r>
    </w:p>
    <w:p w14:paraId="59033F8D" w14:textId="77777777" w:rsidR="0045148A" w:rsidRDefault="00000000">
      <w:pPr>
        <w:pStyle w:val="Standard"/>
        <w:numPr>
          <w:ilvl w:val="0"/>
          <w:numId w:val="4"/>
        </w:numPr>
        <w:spacing w:before="1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CA9E2EE" w14:textId="77777777" w:rsidR="0045148A" w:rsidRDefault="00000000">
      <w:pPr>
        <w:pStyle w:val="Standard"/>
        <w:spacing w:before="22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C73B514" w14:textId="77777777" w:rsidR="0045148A" w:rsidRDefault="00000000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Oddělené soustřeďování komunálního odpadu</w:t>
      </w:r>
    </w:p>
    <w:p w14:paraId="0DF69A68" w14:textId="77777777" w:rsidR="0045148A" w:rsidRDefault="00000000">
      <w:pPr>
        <w:pStyle w:val="Standard"/>
        <w:numPr>
          <w:ilvl w:val="0"/>
          <w:numId w:val="16"/>
        </w:numPr>
        <w:spacing w:before="170" w:after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488E4EF7" w14:textId="77777777" w:rsidR="0045148A" w:rsidRDefault="00000000">
      <w:pPr>
        <w:pStyle w:val="Odstavecseseznamem"/>
        <w:numPr>
          <w:ilvl w:val="0"/>
          <w:numId w:val="17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14:paraId="167822A3" w14:textId="77777777" w:rsidR="0045148A" w:rsidRDefault="00000000">
      <w:pPr>
        <w:pStyle w:val="Odstavecseseznamem"/>
        <w:numPr>
          <w:ilvl w:val="0"/>
          <w:numId w:val="8"/>
        </w:numPr>
        <w:tabs>
          <w:tab w:val="left" w:pos="1287"/>
        </w:tabs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19D596F1" w14:textId="77777777" w:rsidR="0045148A" w:rsidRDefault="00000000">
      <w:pPr>
        <w:pStyle w:val="Odstavecseseznamem"/>
        <w:numPr>
          <w:ilvl w:val="0"/>
          <w:numId w:val="8"/>
        </w:numPr>
        <w:tabs>
          <w:tab w:val="left" w:pos="1287"/>
        </w:tabs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lahví,</w:t>
      </w:r>
    </w:p>
    <w:p w14:paraId="320C5938" w14:textId="77777777" w:rsidR="0045148A" w:rsidRDefault="00000000">
      <w:pPr>
        <w:pStyle w:val="Odstavecseseznamem"/>
        <w:numPr>
          <w:ilvl w:val="0"/>
          <w:numId w:val="8"/>
        </w:numPr>
        <w:tabs>
          <w:tab w:val="left" w:pos="1287"/>
        </w:tabs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</w:t>
      </w:r>
    </w:p>
    <w:p w14:paraId="1EC77FA1" w14:textId="77777777" w:rsidR="0045148A" w:rsidRDefault="00000000">
      <w:pPr>
        <w:pStyle w:val="Odstavecseseznamem"/>
        <w:numPr>
          <w:ilvl w:val="0"/>
          <w:numId w:val="8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bílé,</w:t>
      </w:r>
    </w:p>
    <w:p w14:paraId="66780580" w14:textId="77777777" w:rsidR="0045148A" w:rsidRDefault="00000000">
      <w:pPr>
        <w:pStyle w:val="Odstavecseseznamem"/>
        <w:numPr>
          <w:ilvl w:val="0"/>
          <w:numId w:val="8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14:paraId="2577DA51" w14:textId="77777777" w:rsidR="0045148A" w:rsidRDefault="00000000">
      <w:pPr>
        <w:pStyle w:val="Odstavecseseznamem"/>
        <w:numPr>
          <w:ilvl w:val="0"/>
          <w:numId w:val="8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01FF0E9A" w14:textId="77777777" w:rsidR="0045148A" w:rsidRDefault="00000000">
      <w:pPr>
        <w:pStyle w:val="Standard"/>
        <w:numPr>
          <w:ilvl w:val="0"/>
          <w:numId w:val="8"/>
        </w:numPr>
        <w:autoSpaceDE w:val="0"/>
        <w:rPr>
          <w:rFonts w:ascii="Arial" w:hAnsi="Arial" w:cs="Arial"/>
          <w:bCs/>
          <w:i/>
          <w:iCs/>
          <w:color w:val="000000"/>
          <w:sz w:val="22"/>
          <w:szCs w:val="22"/>
        </w:rPr>
      </w:pPr>
      <w:r>
        <w:rPr>
          <w:rFonts w:ascii="Arial" w:hAnsi="Arial" w:cs="Arial"/>
          <w:bCs/>
          <w:i/>
          <w:iCs/>
          <w:color w:val="000000"/>
          <w:sz w:val="22"/>
          <w:szCs w:val="22"/>
        </w:rPr>
        <w:t>Jedlé oleje a tuky,</w:t>
      </w:r>
    </w:p>
    <w:p w14:paraId="30DFCDC3" w14:textId="77777777" w:rsidR="0045148A" w:rsidRDefault="00000000">
      <w:pPr>
        <w:pStyle w:val="Standard"/>
        <w:numPr>
          <w:ilvl w:val="0"/>
          <w:numId w:val="8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14E584F1" w14:textId="77777777" w:rsidR="0045148A" w:rsidRDefault="00000000">
      <w:pPr>
        <w:pStyle w:val="Standard"/>
        <w:numPr>
          <w:ilvl w:val="0"/>
          <w:numId w:val="8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429C686" w14:textId="77777777" w:rsidR="0045148A" w:rsidRDefault="00000000">
      <w:pPr>
        <w:pStyle w:val="Standard"/>
        <w:numPr>
          <w:ilvl w:val="0"/>
          <w:numId w:val="8"/>
        </w:numPr>
        <w:rPr>
          <w:rFonts w:ascii="Arial" w:hAnsi="Arial" w:cs="Arial"/>
          <w:bCs/>
          <w:i/>
          <w:iCs/>
          <w:color w:val="000000"/>
          <w:sz w:val="22"/>
          <w:szCs w:val="22"/>
        </w:rPr>
      </w:pPr>
      <w:r>
        <w:rPr>
          <w:rFonts w:ascii="Arial" w:hAnsi="Arial" w:cs="Arial"/>
          <w:bCs/>
          <w:i/>
          <w:iCs/>
          <w:color w:val="000000"/>
          <w:sz w:val="22"/>
          <w:szCs w:val="22"/>
        </w:rPr>
        <w:t>Textil,</w:t>
      </w:r>
    </w:p>
    <w:p w14:paraId="11B1ECA2" w14:textId="77777777" w:rsidR="0045148A" w:rsidRDefault="00000000">
      <w:pPr>
        <w:pStyle w:val="Standard"/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1CFB02E" w14:textId="77777777" w:rsidR="0045148A" w:rsidRDefault="0045148A">
      <w:pPr>
        <w:pStyle w:val="Standard"/>
        <w:rPr>
          <w:rFonts w:ascii="Arial" w:hAnsi="Arial" w:cs="Arial"/>
          <w:i/>
          <w:iCs/>
          <w:sz w:val="22"/>
          <w:szCs w:val="22"/>
        </w:rPr>
      </w:pPr>
    </w:p>
    <w:p w14:paraId="47A6D0CB" w14:textId="77777777" w:rsidR="0045148A" w:rsidRDefault="00000000">
      <w:pPr>
        <w:pStyle w:val="Textbodyindent"/>
        <w:numPr>
          <w:ilvl w:val="0"/>
          <w:numId w:val="13"/>
        </w:numPr>
        <w:spacing w:before="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</w:t>
      </w:r>
      <w:proofErr w:type="gramStart"/>
      <w:r>
        <w:rPr>
          <w:rFonts w:ascii="Arial" w:hAnsi="Arial" w:cs="Arial"/>
          <w:sz w:val="22"/>
          <w:szCs w:val="22"/>
        </w:rPr>
        <w:t>) ,i) ,j</w:t>
      </w:r>
      <w:proofErr w:type="gramEnd"/>
      <w:r>
        <w:rPr>
          <w:rFonts w:ascii="Arial" w:hAnsi="Arial" w:cs="Arial"/>
          <w:sz w:val="22"/>
          <w:szCs w:val="22"/>
        </w:rPr>
        <w:t>) a k).</w:t>
      </w:r>
    </w:p>
    <w:p w14:paraId="65A4CDCA" w14:textId="77777777" w:rsidR="0045148A" w:rsidRDefault="00000000">
      <w:pPr>
        <w:pStyle w:val="Textbodyindent"/>
        <w:numPr>
          <w:ilvl w:val="0"/>
          <w:numId w:val="13"/>
        </w:numPr>
        <w:spacing w:before="170"/>
      </w:pPr>
      <w:r>
        <w:rPr>
          <w:rFonts w:ascii="Arial" w:hAnsi="Arial" w:cs="Arial"/>
          <w:sz w:val="22"/>
          <w:szCs w:val="22"/>
        </w:rPr>
        <w:t xml:space="preserve">Objemný odpad je takový </w:t>
      </w:r>
      <w:r>
        <w:rPr>
          <w:rFonts w:ascii="Arial" w:hAnsi="Arial" w:cs="Arial"/>
          <w:color w:val="000000"/>
          <w:sz w:val="22"/>
          <w:szCs w:val="22"/>
        </w:rPr>
        <w:t xml:space="preserve">odpad, který vzhledem ke svým rozměrům nemůže být umístěn do sběrných nádob (např. koberce, matrace,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nábytek,…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).</w:t>
      </w:r>
    </w:p>
    <w:p w14:paraId="7E77BA9C" w14:textId="77777777" w:rsidR="0045148A" w:rsidRDefault="0045148A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523EF904" w14:textId="77777777" w:rsidR="0045148A" w:rsidRDefault="0045148A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54E40284" w14:textId="77777777" w:rsidR="0045148A" w:rsidRDefault="0045148A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4A4169A7" w14:textId="77777777" w:rsidR="0045148A" w:rsidRDefault="0045148A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4A7F147E" w14:textId="77777777" w:rsidR="0045148A" w:rsidRDefault="00000000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08420409" w14:textId="77777777" w:rsidR="0045148A" w:rsidRDefault="00000000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Určení míst pro oddělené soustřeďování určených složek komunálního odpadu</w:t>
      </w:r>
    </w:p>
    <w:p w14:paraId="67A19413" w14:textId="77777777" w:rsidR="0045148A" w:rsidRDefault="00000000">
      <w:pPr>
        <w:pStyle w:val="Standard"/>
        <w:numPr>
          <w:ilvl w:val="0"/>
          <w:numId w:val="18"/>
        </w:numPr>
        <w:tabs>
          <w:tab w:val="left" w:pos="540"/>
          <w:tab w:val="left" w:pos="927"/>
        </w:tabs>
        <w:spacing w:before="170"/>
        <w:jc w:val="both"/>
      </w:pPr>
      <w:r>
        <w:rPr>
          <w:rFonts w:ascii="Arial" w:hAnsi="Arial" w:cs="Arial"/>
          <w:sz w:val="22"/>
          <w:szCs w:val="22"/>
        </w:rPr>
        <w:t xml:space="preserve">Papír, plasty, nápojové kartony, sklo bílé a barevné, biologické odpady, kovy, jedlé oleje a tuky a textil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, kterými jsou sběrné nádoby a velkoobjemové kontejnery.</w:t>
      </w:r>
    </w:p>
    <w:p w14:paraId="3CBA8FB1" w14:textId="77777777" w:rsidR="0045148A" w:rsidRDefault="00000000">
      <w:pPr>
        <w:pStyle w:val="NormlnIMP"/>
        <w:numPr>
          <w:ilvl w:val="0"/>
          <w:numId w:val="9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na papír, plasty, nápojové kartony, sklo bílé a barevné jsou umístěny na těchto stanovištích:</w:t>
      </w:r>
    </w:p>
    <w:p w14:paraId="5C275DA1" w14:textId="16D89B9D" w:rsidR="0045148A" w:rsidRDefault="00000000">
      <w:pPr>
        <w:pStyle w:val="Standard"/>
        <w:tabs>
          <w:tab w:val="left" w:pos="540"/>
          <w:tab w:val="left" w:pos="927"/>
        </w:tabs>
        <w:spacing w:before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obci </w:t>
      </w:r>
      <w:r w:rsidR="00113A18">
        <w:rPr>
          <w:rFonts w:ascii="Arial" w:hAnsi="Arial" w:cs="Arial"/>
          <w:sz w:val="22"/>
          <w:szCs w:val="22"/>
        </w:rPr>
        <w:t>Hroubovice</w:t>
      </w:r>
      <w:r>
        <w:rPr>
          <w:rFonts w:ascii="Arial" w:hAnsi="Arial" w:cs="Arial"/>
          <w:sz w:val="22"/>
          <w:szCs w:val="22"/>
        </w:rPr>
        <w:t>:</w:t>
      </w:r>
    </w:p>
    <w:p w14:paraId="6D3FCBA4" w14:textId="08EAC6E7" w:rsidR="0045148A" w:rsidRDefault="00000000">
      <w:pPr>
        <w:pStyle w:val="Standard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na pozemku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440/6 v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113A18">
        <w:rPr>
          <w:rFonts w:ascii="Arial" w:hAnsi="Arial" w:cs="Arial"/>
          <w:sz w:val="22"/>
          <w:szCs w:val="22"/>
        </w:rPr>
        <w:t>Hroubovice</w:t>
      </w:r>
      <w:r>
        <w:rPr>
          <w:rFonts w:ascii="Arial" w:hAnsi="Arial" w:cs="Arial"/>
          <w:sz w:val="22"/>
          <w:szCs w:val="22"/>
        </w:rPr>
        <w:t xml:space="preserve"> – u hřiště,</w:t>
      </w:r>
    </w:p>
    <w:p w14:paraId="437450D5" w14:textId="05CF43D5" w:rsidR="0045148A" w:rsidRDefault="00000000">
      <w:pPr>
        <w:pStyle w:val="Standard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na pozemku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440/5 v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113A18">
        <w:rPr>
          <w:rFonts w:ascii="Arial" w:hAnsi="Arial" w:cs="Arial"/>
          <w:sz w:val="22"/>
          <w:szCs w:val="22"/>
        </w:rPr>
        <w:t>Hroubovice</w:t>
      </w:r>
      <w:r>
        <w:rPr>
          <w:rFonts w:ascii="Arial" w:hAnsi="Arial" w:cs="Arial"/>
          <w:sz w:val="22"/>
          <w:szCs w:val="22"/>
        </w:rPr>
        <w:t xml:space="preserve"> – u </w:t>
      </w:r>
      <w:r w:rsidR="00113A18">
        <w:rPr>
          <w:rFonts w:ascii="Arial" w:hAnsi="Arial" w:cs="Arial"/>
          <w:sz w:val="22"/>
          <w:szCs w:val="22"/>
        </w:rPr>
        <w:t>garáží</w:t>
      </w:r>
    </w:p>
    <w:p w14:paraId="604DD7C4" w14:textId="0EF58AEA" w:rsidR="0045148A" w:rsidRDefault="00000000">
      <w:pPr>
        <w:pStyle w:val="Standard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na pozemku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683/14 v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gramStart"/>
      <w:r w:rsidR="00113A18">
        <w:rPr>
          <w:rFonts w:ascii="Arial" w:hAnsi="Arial" w:cs="Arial"/>
          <w:sz w:val="22"/>
          <w:szCs w:val="22"/>
        </w:rPr>
        <w:t>Hroubovice</w:t>
      </w:r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113A18">
        <w:rPr>
          <w:rFonts w:ascii="Arial" w:hAnsi="Arial" w:cs="Arial"/>
          <w:sz w:val="22"/>
          <w:szCs w:val="22"/>
        </w:rPr>
        <w:t>Židovny</w:t>
      </w:r>
      <w:proofErr w:type="spellEnd"/>
      <w:proofErr w:type="gramEnd"/>
    </w:p>
    <w:p w14:paraId="79AA0F6A" w14:textId="0491246F" w:rsidR="00113A18" w:rsidRDefault="00000000" w:rsidP="00113A18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na pozemku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682/3 v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113A18">
        <w:rPr>
          <w:rFonts w:ascii="Arial" w:hAnsi="Arial" w:cs="Arial"/>
          <w:sz w:val="22"/>
          <w:szCs w:val="22"/>
        </w:rPr>
        <w:t>Hroubovice</w:t>
      </w:r>
      <w:r>
        <w:rPr>
          <w:rFonts w:ascii="Arial" w:hAnsi="Arial" w:cs="Arial"/>
          <w:sz w:val="22"/>
          <w:szCs w:val="22"/>
        </w:rPr>
        <w:t xml:space="preserve"> </w:t>
      </w:r>
      <w:r w:rsidR="00113A18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3A18">
        <w:rPr>
          <w:rFonts w:ascii="Arial" w:hAnsi="Arial" w:cs="Arial"/>
          <w:sz w:val="22"/>
          <w:szCs w:val="22"/>
        </w:rPr>
        <w:t>Rafanda</w:t>
      </w:r>
      <w:proofErr w:type="spellEnd"/>
    </w:p>
    <w:p w14:paraId="6A1D0215" w14:textId="77777777" w:rsidR="00113A18" w:rsidRDefault="00113A18" w:rsidP="00113A1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AE7AAE4" w14:textId="4F2F715E" w:rsidR="0045148A" w:rsidRDefault="00000000" w:rsidP="00113A18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sběrná nádoba na kovy je umístěna v obci </w:t>
      </w:r>
      <w:r w:rsidR="00113A18">
        <w:rPr>
          <w:rFonts w:ascii="Arial" w:hAnsi="Arial" w:cs="Arial"/>
          <w:sz w:val="22"/>
          <w:szCs w:val="22"/>
        </w:rPr>
        <w:t>Hroubovice</w:t>
      </w:r>
      <w:r>
        <w:rPr>
          <w:rFonts w:ascii="Arial" w:hAnsi="Arial" w:cs="Arial"/>
          <w:sz w:val="22"/>
          <w:szCs w:val="22"/>
        </w:rPr>
        <w:t>:</w:t>
      </w:r>
    </w:p>
    <w:p w14:paraId="44807C97" w14:textId="25C6BA29" w:rsidR="0045148A" w:rsidRDefault="00000000" w:rsidP="00113A18">
      <w:pPr>
        <w:pStyle w:val="Standard"/>
        <w:tabs>
          <w:tab w:val="left" w:pos="709"/>
        </w:tabs>
        <w:suppressAutoHyphens w:val="0"/>
        <w:spacing w:before="57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na pozemku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p.č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4</w:t>
      </w:r>
      <w:r w:rsidR="00113A18">
        <w:rPr>
          <w:rFonts w:ascii="Arial" w:hAnsi="Arial" w:cs="Arial"/>
          <w:color w:val="000000"/>
          <w:sz w:val="22"/>
          <w:szCs w:val="22"/>
        </w:rPr>
        <w:t>8</w:t>
      </w:r>
      <w:r>
        <w:rPr>
          <w:rFonts w:ascii="Arial" w:hAnsi="Arial" w:cs="Arial"/>
          <w:color w:val="000000"/>
          <w:sz w:val="22"/>
          <w:szCs w:val="22"/>
        </w:rPr>
        <w:t xml:space="preserve">0/6 v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113A18">
        <w:rPr>
          <w:rFonts w:ascii="Arial" w:hAnsi="Arial" w:cs="Arial"/>
          <w:color w:val="000000"/>
          <w:sz w:val="22"/>
          <w:szCs w:val="22"/>
        </w:rPr>
        <w:t>Hroubovice</w:t>
      </w:r>
      <w:r>
        <w:rPr>
          <w:rFonts w:ascii="Arial" w:hAnsi="Arial" w:cs="Arial"/>
          <w:color w:val="000000"/>
          <w:sz w:val="22"/>
          <w:szCs w:val="22"/>
        </w:rPr>
        <w:t xml:space="preserve"> – </w:t>
      </w:r>
      <w:r w:rsidR="00113A18">
        <w:rPr>
          <w:rFonts w:ascii="Arial" w:hAnsi="Arial" w:cs="Arial"/>
          <w:color w:val="000000"/>
          <w:sz w:val="22"/>
          <w:szCs w:val="22"/>
        </w:rPr>
        <w:t>Hájenka</w:t>
      </w:r>
    </w:p>
    <w:p w14:paraId="10388F77" w14:textId="77777777" w:rsidR="0045148A" w:rsidRDefault="00000000">
      <w:pPr>
        <w:pStyle w:val="Standard"/>
        <w:tabs>
          <w:tab w:val="left" w:pos="709"/>
        </w:tabs>
        <w:suppressAutoHyphens w:val="0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Kovy, které se z kapacitních důvodů nevejdou do sběrné nádoby, je možné minimálně jednou ročně odložit v rámci mobilního svozu kovového odpadu. Informace o svozu jsou zveřejňovány rozhlasem a na webových stránkách obecního úřadu.</w:t>
      </w:r>
    </w:p>
    <w:p w14:paraId="64E47D34" w14:textId="77777777" w:rsidR="0045148A" w:rsidRDefault="0045148A">
      <w:pPr>
        <w:pStyle w:val="Standard"/>
        <w:tabs>
          <w:tab w:val="left" w:pos="709"/>
        </w:tabs>
        <w:suppressAutoHyphens w:val="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CA41DD7" w14:textId="10E21C17" w:rsidR="0045148A" w:rsidRDefault="00000000">
      <w:pPr>
        <w:pStyle w:val="NormlnIMP"/>
        <w:numPr>
          <w:ilvl w:val="0"/>
          <w:numId w:val="9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sběrná nádoba na jedlé oleje a tuky je umístěna v obci </w:t>
      </w:r>
      <w:r w:rsidR="00113A18">
        <w:rPr>
          <w:rFonts w:ascii="Arial" w:hAnsi="Arial" w:cs="Arial"/>
          <w:sz w:val="22"/>
          <w:szCs w:val="22"/>
        </w:rPr>
        <w:t>Hroubovice</w:t>
      </w:r>
      <w:r>
        <w:rPr>
          <w:rFonts w:ascii="Arial" w:hAnsi="Arial" w:cs="Arial"/>
          <w:sz w:val="22"/>
          <w:szCs w:val="22"/>
        </w:rPr>
        <w:t>:</w:t>
      </w:r>
    </w:p>
    <w:p w14:paraId="2F1994CD" w14:textId="41A63C14" w:rsidR="0045148A" w:rsidRDefault="00000000">
      <w:pPr>
        <w:pStyle w:val="Standard"/>
        <w:tabs>
          <w:tab w:val="left" w:pos="709"/>
        </w:tabs>
        <w:suppressAutoHyphens w:val="0"/>
        <w:spacing w:before="57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na pozemku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p.č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4</w:t>
      </w:r>
      <w:r w:rsidR="00113A18">
        <w:rPr>
          <w:rFonts w:ascii="Arial" w:hAnsi="Arial" w:cs="Arial"/>
          <w:color w:val="000000"/>
          <w:sz w:val="22"/>
          <w:szCs w:val="22"/>
        </w:rPr>
        <w:t>8</w:t>
      </w:r>
      <w:r>
        <w:rPr>
          <w:rFonts w:ascii="Arial" w:hAnsi="Arial" w:cs="Arial"/>
          <w:color w:val="000000"/>
          <w:sz w:val="22"/>
          <w:szCs w:val="22"/>
        </w:rPr>
        <w:t xml:space="preserve">0/6 v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113A18">
        <w:rPr>
          <w:rFonts w:ascii="Arial" w:hAnsi="Arial" w:cs="Arial"/>
          <w:color w:val="000000"/>
          <w:sz w:val="22"/>
          <w:szCs w:val="22"/>
        </w:rPr>
        <w:t>Hroubovice</w:t>
      </w:r>
      <w:r>
        <w:rPr>
          <w:rFonts w:ascii="Arial" w:hAnsi="Arial" w:cs="Arial"/>
          <w:color w:val="000000"/>
          <w:sz w:val="22"/>
          <w:szCs w:val="22"/>
        </w:rPr>
        <w:t xml:space="preserve"> – </w:t>
      </w:r>
      <w:r w:rsidR="00113A18">
        <w:rPr>
          <w:rFonts w:ascii="Arial" w:hAnsi="Arial" w:cs="Arial"/>
          <w:color w:val="000000"/>
          <w:sz w:val="22"/>
          <w:szCs w:val="22"/>
        </w:rPr>
        <w:t>Hájenka</w:t>
      </w:r>
    </w:p>
    <w:p w14:paraId="036E5232" w14:textId="77777777" w:rsidR="0045148A" w:rsidRDefault="0045148A">
      <w:pPr>
        <w:pStyle w:val="Standard"/>
        <w:tabs>
          <w:tab w:val="left" w:pos="900"/>
          <w:tab w:val="left" w:pos="1287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3A53F3D9" w14:textId="2EC6B168" w:rsidR="0045148A" w:rsidRDefault="00000000">
      <w:pPr>
        <w:pStyle w:val="Standard"/>
        <w:numPr>
          <w:ilvl w:val="0"/>
          <w:numId w:val="9"/>
        </w:numPr>
        <w:tabs>
          <w:tab w:val="left" w:pos="540"/>
          <w:tab w:val="left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Velkoobjemové kontejnery na biologický odpad jsou umístěny v obci </w:t>
      </w:r>
      <w:r w:rsidR="00113A18">
        <w:rPr>
          <w:rFonts w:ascii="Arial" w:hAnsi="Arial" w:cs="Arial"/>
          <w:color w:val="000000"/>
          <w:sz w:val="22"/>
          <w:szCs w:val="22"/>
        </w:rPr>
        <w:t>Hroubovice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14:paraId="41BEA1B3" w14:textId="75A0A963" w:rsidR="0045148A" w:rsidRDefault="00000000">
      <w:pPr>
        <w:pStyle w:val="Standard"/>
        <w:tabs>
          <w:tab w:val="left" w:pos="540"/>
          <w:tab w:val="left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na pozemku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p.č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214/1 v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gramStart"/>
      <w:r w:rsidR="00113A18">
        <w:rPr>
          <w:rFonts w:ascii="Arial" w:hAnsi="Arial" w:cs="Arial"/>
          <w:color w:val="000000"/>
          <w:sz w:val="22"/>
          <w:szCs w:val="22"/>
        </w:rPr>
        <w:t>Hroubovice</w:t>
      </w:r>
      <w:r>
        <w:rPr>
          <w:rFonts w:ascii="Arial" w:hAnsi="Arial" w:cs="Arial"/>
          <w:color w:val="000000"/>
          <w:sz w:val="22"/>
          <w:szCs w:val="22"/>
        </w:rPr>
        <w:t xml:space="preserve"> - u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13A18">
        <w:rPr>
          <w:rFonts w:ascii="Arial" w:hAnsi="Arial" w:cs="Arial"/>
          <w:color w:val="000000"/>
          <w:sz w:val="22"/>
          <w:szCs w:val="22"/>
        </w:rPr>
        <w:t>hřiště</w:t>
      </w:r>
    </w:p>
    <w:p w14:paraId="494E3003" w14:textId="6E5B621F" w:rsidR="0045148A" w:rsidRDefault="00000000">
      <w:pPr>
        <w:pStyle w:val="Standard"/>
        <w:tabs>
          <w:tab w:val="left" w:pos="540"/>
          <w:tab w:val="left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na pozemku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p.č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440/5 v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113A18">
        <w:rPr>
          <w:rFonts w:ascii="Arial" w:hAnsi="Arial" w:cs="Arial"/>
          <w:color w:val="000000"/>
          <w:sz w:val="22"/>
          <w:szCs w:val="22"/>
        </w:rPr>
        <w:t>Hroubovice</w:t>
      </w:r>
      <w:r>
        <w:rPr>
          <w:rFonts w:ascii="Arial" w:hAnsi="Arial" w:cs="Arial"/>
          <w:color w:val="000000"/>
          <w:sz w:val="22"/>
          <w:szCs w:val="22"/>
        </w:rPr>
        <w:t xml:space="preserve"> – u </w:t>
      </w:r>
      <w:r w:rsidR="00113A18">
        <w:rPr>
          <w:rFonts w:ascii="Arial" w:hAnsi="Arial" w:cs="Arial"/>
          <w:color w:val="000000"/>
          <w:sz w:val="22"/>
          <w:szCs w:val="22"/>
        </w:rPr>
        <w:t>požární zbrojnice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527B1E42" w14:textId="77777777" w:rsidR="00113A18" w:rsidRDefault="00113A18" w:rsidP="00113A18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</w:p>
    <w:p w14:paraId="0641CB34" w14:textId="215B9BF7" w:rsidR="0045148A" w:rsidRDefault="00000000">
      <w:pPr>
        <w:pStyle w:val="NormlnIMP"/>
        <w:numPr>
          <w:ilvl w:val="0"/>
          <w:numId w:val="9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sběrná nádoba na textil je umístěna v obci </w:t>
      </w:r>
      <w:r w:rsidR="00113A18">
        <w:rPr>
          <w:rFonts w:ascii="Arial" w:hAnsi="Arial" w:cs="Arial"/>
          <w:sz w:val="22"/>
          <w:szCs w:val="22"/>
        </w:rPr>
        <w:t>Hroubovice</w:t>
      </w:r>
      <w:r>
        <w:rPr>
          <w:rFonts w:ascii="Arial" w:hAnsi="Arial" w:cs="Arial"/>
          <w:sz w:val="22"/>
          <w:szCs w:val="22"/>
        </w:rPr>
        <w:t>:</w:t>
      </w:r>
    </w:p>
    <w:p w14:paraId="251D2DDC" w14:textId="484E36E3" w:rsidR="0045148A" w:rsidRDefault="00000000">
      <w:pPr>
        <w:pStyle w:val="Standard"/>
        <w:tabs>
          <w:tab w:val="left" w:pos="709"/>
        </w:tabs>
        <w:suppressAutoHyphens w:val="0"/>
        <w:spacing w:before="57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na pozemku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p.č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440/5 v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113A18">
        <w:rPr>
          <w:rFonts w:ascii="Arial" w:hAnsi="Arial" w:cs="Arial"/>
          <w:color w:val="000000"/>
          <w:sz w:val="22"/>
          <w:szCs w:val="22"/>
        </w:rPr>
        <w:t>Hroubovice</w:t>
      </w:r>
      <w:r>
        <w:rPr>
          <w:rFonts w:ascii="Arial" w:hAnsi="Arial" w:cs="Arial"/>
          <w:color w:val="000000"/>
          <w:sz w:val="22"/>
          <w:szCs w:val="22"/>
        </w:rPr>
        <w:t xml:space="preserve"> – u </w:t>
      </w:r>
      <w:r w:rsidR="00113A18">
        <w:rPr>
          <w:rFonts w:ascii="Arial" w:hAnsi="Arial" w:cs="Arial"/>
          <w:color w:val="000000"/>
          <w:sz w:val="22"/>
          <w:szCs w:val="22"/>
        </w:rPr>
        <w:t>hřiště</w:t>
      </w:r>
    </w:p>
    <w:p w14:paraId="6B750B97" w14:textId="77777777" w:rsidR="0045148A" w:rsidRDefault="0045148A">
      <w:pPr>
        <w:pStyle w:val="Standard"/>
        <w:tabs>
          <w:tab w:val="left" w:pos="900"/>
          <w:tab w:val="left" w:pos="1287"/>
        </w:tabs>
        <w:ind w:left="360"/>
        <w:jc w:val="both"/>
      </w:pPr>
    </w:p>
    <w:p w14:paraId="044A8251" w14:textId="77777777" w:rsidR="0045148A" w:rsidRDefault="00000000">
      <w:pPr>
        <w:pStyle w:val="NormlnIMP"/>
        <w:numPr>
          <w:ilvl w:val="0"/>
          <w:numId w:val="9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9760477" w14:textId="77777777" w:rsidR="0045148A" w:rsidRDefault="00000000">
      <w:pPr>
        <w:pStyle w:val="Odstavecseseznamem"/>
        <w:numPr>
          <w:ilvl w:val="0"/>
          <w:numId w:val="19"/>
        </w:numPr>
        <w:autoSpaceDE w:val="0"/>
        <w:spacing w:before="57"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 barva modrá,</w:t>
      </w:r>
    </w:p>
    <w:p w14:paraId="7F96150E" w14:textId="77777777" w:rsidR="0045148A" w:rsidRDefault="00000000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Plasty, PET lahve, nápojové kartony, barva žlutá</w:t>
      </w:r>
    </w:p>
    <w:p w14:paraId="3BB2B365" w14:textId="77777777" w:rsidR="0045148A" w:rsidRDefault="00000000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bílé, barva bílá,</w:t>
      </w:r>
    </w:p>
    <w:p w14:paraId="51990687" w14:textId="77777777" w:rsidR="0045148A" w:rsidRDefault="00000000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 barva zelená</w:t>
      </w:r>
    </w:p>
    <w:p w14:paraId="769C44E7" w14:textId="77777777" w:rsidR="0045148A" w:rsidRDefault="00000000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 barva šedá</w:t>
      </w:r>
    </w:p>
    <w:p w14:paraId="640C4648" w14:textId="77777777" w:rsidR="0045148A" w:rsidRDefault="00000000">
      <w:pPr>
        <w:pStyle w:val="Standard"/>
        <w:numPr>
          <w:ilvl w:val="0"/>
          <w:numId w:val="2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černá nádoba s označením „jedlé tuky a oleje“</w:t>
      </w:r>
    </w:p>
    <w:p w14:paraId="45F11571" w14:textId="77777777" w:rsidR="0045148A" w:rsidRDefault="00000000">
      <w:pPr>
        <w:pStyle w:val="Standard"/>
        <w:numPr>
          <w:ilvl w:val="0"/>
          <w:numId w:val="2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Biologické odpady, velkoobjemový kontejner s označením „BIOODPAD“</w:t>
      </w:r>
    </w:p>
    <w:p w14:paraId="4CD06F5C" w14:textId="77777777" w:rsidR="0045148A" w:rsidRDefault="00000000">
      <w:pPr>
        <w:pStyle w:val="Standard"/>
        <w:numPr>
          <w:ilvl w:val="0"/>
          <w:numId w:val="2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Textilní odpad, bílý kontejner s vhozem na textil s označením „TEXTIL“</w:t>
      </w:r>
    </w:p>
    <w:p w14:paraId="734CF80E" w14:textId="77777777" w:rsidR="0045148A" w:rsidRDefault="0045148A">
      <w:pPr>
        <w:pStyle w:val="Standard"/>
        <w:ind w:left="360"/>
        <w:rPr>
          <w:rFonts w:ascii="Arial" w:hAnsi="Arial" w:cs="Arial"/>
          <w:i/>
          <w:iCs/>
          <w:sz w:val="22"/>
          <w:szCs w:val="22"/>
        </w:rPr>
      </w:pPr>
    </w:p>
    <w:p w14:paraId="6AD536E8" w14:textId="77777777" w:rsidR="0045148A" w:rsidRDefault="00000000">
      <w:pPr>
        <w:pStyle w:val="Standard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10A84BDC" w14:textId="77777777" w:rsidR="0045148A" w:rsidRDefault="0045148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372E7DA" w14:textId="77777777" w:rsidR="0045148A" w:rsidRDefault="00000000">
      <w:pPr>
        <w:pStyle w:val="Standard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0A356121" w14:textId="77777777" w:rsidR="0045148A" w:rsidRDefault="0045148A">
      <w:pPr>
        <w:pStyle w:val="Default"/>
        <w:ind w:left="360"/>
      </w:pPr>
    </w:p>
    <w:p w14:paraId="3CDBD4AE" w14:textId="77777777" w:rsidR="0045148A" w:rsidRDefault="00000000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587AD8B2" w14:textId="77777777" w:rsidR="0045148A" w:rsidRDefault="00000000">
      <w:pPr>
        <w:pStyle w:val="Heading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7BD81B6C" w14:textId="77777777" w:rsidR="0045148A" w:rsidRDefault="00000000">
      <w:pPr>
        <w:pStyle w:val="Standard"/>
        <w:numPr>
          <w:ilvl w:val="0"/>
          <w:numId w:val="20"/>
        </w:numPr>
        <w:spacing w:before="170"/>
        <w:jc w:val="both"/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rozhlasem a na webových stránkách obecního úřadu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2CA0FA9E" w14:textId="77777777" w:rsidR="0045148A" w:rsidRDefault="0045148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6BB46F5" w14:textId="77777777" w:rsidR="0045148A" w:rsidRDefault="00000000">
      <w:pPr>
        <w:pStyle w:val="Standard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8 a 9.</w:t>
      </w:r>
    </w:p>
    <w:p w14:paraId="499DEA63" w14:textId="77777777" w:rsidR="0045148A" w:rsidRDefault="00000000">
      <w:pPr>
        <w:pStyle w:val="Standard"/>
        <w:jc w:val="center"/>
      </w:pPr>
      <w:r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</w:t>
      </w:r>
      <w:r>
        <w:rPr>
          <w:rFonts w:ascii="Arial" w:hAnsi="Arial" w:cs="Arial"/>
          <w:b/>
          <w:sz w:val="22"/>
          <w:szCs w:val="22"/>
        </w:rPr>
        <w:t>Čl. 5</w:t>
      </w:r>
    </w:p>
    <w:p w14:paraId="4A35B972" w14:textId="77777777" w:rsidR="0045148A" w:rsidRDefault="00000000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0A183052" w14:textId="77777777" w:rsidR="0045148A" w:rsidRDefault="0045148A">
      <w:pPr>
        <w:pStyle w:val="Standard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D026E76" w14:textId="77777777" w:rsidR="0045148A" w:rsidRDefault="00000000">
      <w:pPr>
        <w:pStyle w:val="Standard"/>
        <w:numPr>
          <w:ilvl w:val="0"/>
          <w:numId w:val="21"/>
        </w:numPr>
        <w:jc w:val="both"/>
      </w:pPr>
      <w:r>
        <w:rPr>
          <w:rFonts w:ascii="Arial" w:hAnsi="Arial" w:cs="Arial"/>
          <w:sz w:val="22"/>
          <w:szCs w:val="22"/>
        </w:rPr>
        <w:t>Svoz objemného odpadu je zajišťován dvakrát ročně jeho odebíráním na předem vyhlášených přechodných stanovištích přímo do zvláštních sběrných nádob k tomuto účelu určených. Informace o svozu jsou zveřejňovány rozhlasem a na webových stránkách obecního úřadu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4154994E" w14:textId="77777777" w:rsidR="0045148A" w:rsidRDefault="0045148A">
      <w:pPr>
        <w:pStyle w:val="NormlnIMP"/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58A2983" w14:textId="77777777" w:rsidR="0045148A" w:rsidRDefault="00000000">
      <w:pPr>
        <w:pStyle w:val="Standard"/>
        <w:numPr>
          <w:ilvl w:val="0"/>
          <w:numId w:val="5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 podléhá požadavkům stanoveným v čl. 3 odst. 8 a 9.</w:t>
      </w:r>
    </w:p>
    <w:p w14:paraId="0067812D" w14:textId="77777777" w:rsidR="0045148A" w:rsidRDefault="0045148A">
      <w:pPr>
        <w:pStyle w:val="Standard"/>
        <w:rPr>
          <w:rFonts w:ascii="Arial" w:hAnsi="Arial" w:cs="Arial"/>
          <w:b/>
          <w:sz w:val="22"/>
          <w:szCs w:val="22"/>
        </w:rPr>
      </w:pPr>
    </w:p>
    <w:p w14:paraId="1DD3551F" w14:textId="77777777" w:rsidR="0045148A" w:rsidRDefault="00000000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4F753B76" w14:textId="77777777" w:rsidR="0045148A" w:rsidRDefault="00000000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Soustřeďování směsného komunálního odpadu</w:t>
      </w:r>
    </w:p>
    <w:p w14:paraId="5F7704BE" w14:textId="77777777" w:rsidR="0045148A" w:rsidRDefault="0045148A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73FDD5EC" w14:textId="77777777" w:rsidR="0045148A" w:rsidRDefault="00000000">
      <w:pPr>
        <w:pStyle w:val="Standard"/>
        <w:widowControl w:val="0"/>
        <w:numPr>
          <w:ilvl w:val="0"/>
          <w:numId w:val="22"/>
        </w:numPr>
        <w:spacing w:after="113"/>
        <w:ind w:left="426" w:hanging="426"/>
        <w:jc w:val="both"/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</w:t>
      </w:r>
      <w:r>
        <w:rPr>
          <w:rFonts w:ascii="Arial" w:hAnsi="Arial" w:cs="Arial"/>
          <w:color w:val="000000"/>
          <w:sz w:val="22"/>
          <w:szCs w:val="22"/>
        </w:rPr>
        <w:t>jí:</w:t>
      </w:r>
    </w:p>
    <w:p w14:paraId="18CF5402" w14:textId="026D8180" w:rsidR="00113A18" w:rsidRDefault="00000000" w:rsidP="00113A18">
      <w:pPr>
        <w:pStyle w:val="Standard"/>
        <w:numPr>
          <w:ilvl w:val="0"/>
          <w:numId w:val="23"/>
        </w:numPr>
        <w:ind w:firstLine="66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popelnice </w:t>
      </w: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120l</w:t>
      </w:r>
      <w:proofErr w:type="gramEnd"/>
      <w:r w:rsidR="008B1D01">
        <w:rPr>
          <w:rFonts w:ascii="Arial" w:hAnsi="Arial" w:cs="Arial"/>
          <w:bCs/>
          <w:color w:val="000000"/>
          <w:sz w:val="22"/>
          <w:szCs w:val="22"/>
        </w:rPr>
        <w:t xml:space="preserve"> a </w:t>
      </w:r>
      <w:proofErr w:type="gramStart"/>
      <w:r w:rsidR="008B1D01">
        <w:rPr>
          <w:rFonts w:ascii="Arial" w:hAnsi="Arial" w:cs="Arial"/>
          <w:bCs/>
          <w:color w:val="000000"/>
          <w:sz w:val="22"/>
          <w:szCs w:val="22"/>
        </w:rPr>
        <w:t>60l</w:t>
      </w:r>
      <w:proofErr w:type="gramEnd"/>
    </w:p>
    <w:p w14:paraId="38939E9E" w14:textId="10D364D1" w:rsidR="0045148A" w:rsidRDefault="00000000" w:rsidP="00113A18">
      <w:pPr>
        <w:pStyle w:val="Standard"/>
        <w:numPr>
          <w:ilvl w:val="0"/>
          <w:numId w:val="23"/>
        </w:numPr>
        <w:ind w:firstLine="66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1238F70E" w14:textId="77777777" w:rsidR="0045148A" w:rsidRDefault="0045148A">
      <w:pPr>
        <w:pStyle w:val="Standard"/>
        <w:ind w:left="705" w:hanging="285"/>
        <w:jc w:val="both"/>
      </w:pPr>
    </w:p>
    <w:p w14:paraId="2E6A9DE4" w14:textId="77777777" w:rsidR="0045148A" w:rsidRDefault="00000000">
      <w:pPr>
        <w:pStyle w:val="Standard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>v čl. 3 odst. 8 a 9.</w:t>
      </w:r>
    </w:p>
    <w:p w14:paraId="4B380A72" w14:textId="77777777" w:rsidR="0045148A" w:rsidRDefault="0045148A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FF5905B" w14:textId="77777777" w:rsidR="0045148A" w:rsidRDefault="00000000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4AAFBDD6" w14:textId="77777777" w:rsidR="0045148A" w:rsidRDefault="00000000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53129F38" w14:textId="77777777" w:rsidR="0045148A" w:rsidRDefault="0045148A">
      <w:pPr>
        <w:pStyle w:val="Heading2"/>
        <w:jc w:val="center"/>
      </w:pPr>
    </w:p>
    <w:p w14:paraId="0C731771" w14:textId="77777777" w:rsidR="0045148A" w:rsidRDefault="00000000">
      <w:pPr>
        <w:pStyle w:val="Standard"/>
        <w:numPr>
          <w:ilvl w:val="0"/>
          <w:numId w:val="24"/>
        </w:numPr>
        <w:ind w:left="284" w:hanging="284"/>
        <w:jc w:val="both"/>
      </w:pPr>
      <w:r>
        <w:rPr>
          <w:rFonts w:ascii="Arial" w:hAnsi="Arial" w:cs="Arial"/>
          <w:color w:val="000000"/>
          <w:sz w:val="22"/>
          <w:szCs w:val="22"/>
        </w:rPr>
        <w:t>Právnické a podnikající fyzické osoby zapojené do obecního systému na základě smlouvy s obcí komunální odpad dle čl. 2 odst. 1 písm.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b) – h), k) a l)</w:t>
      </w:r>
      <w:r>
        <w:rPr>
          <w:rFonts w:ascii="Arial" w:hAnsi="Arial" w:cs="Arial"/>
          <w:color w:val="000000"/>
          <w:sz w:val="22"/>
          <w:szCs w:val="22"/>
        </w:rPr>
        <w:t xml:space="preserve"> předávají způsobem dle čl. 3.</w:t>
      </w:r>
    </w:p>
    <w:p w14:paraId="3656F356" w14:textId="77777777" w:rsidR="0045148A" w:rsidRDefault="0045148A">
      <w:pPr>
        <w:pStyle w:val="Standard"/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40C2074E" w14:textId="77777777" w:rsidR="0045148A" w:rsidRDefault="00000000">
      <w:pPr>
        <w:pStyle w:val="Standard"/>
        <w:numPr>
          <w:ilvl w:val="0"/>
          <w:numId w:val="14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Výše úhrady za zapojení do obecního systému se stanoví každoročně dle četnosti svozu směsného odpadu.</w:t>
      </w:r>
    </w:p>
    <w:p w14:paraId="6E9F05BD" w14:textId="77777777" w:rsidR="0045148A" w:rsidRDefault="0045148A">
      <w:pPr>
        <w:pStyle w:val="Standard"/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65AC0BA9" w14:textId="77777777" w:rsidR="0045148A" w:rsidRDefault="00000000">
      <w:pPr>
        <w:pStyle w:val="Standard"/>
        <w:numPr>
          <w:ilvl w:val="0"/>
          <w:numId w:val="14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Úhrada se vybírá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jednorázově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a to převodem na účet.</w:t>
      </w:r>
    </w:p>
    <w:p w14:paraId="144830BB" w14:textId="77777777" w:rsidR="0045148A" w:rsidRDefault="0045148A">
      <w:pPr>
        <w:pStyle w:val="Standard"/>
        <w:ind w:left="284" w:hanging="284"/>
        <w:jc w:val="both"/>
      </w:pPr>
    </w:p>
    <w:p w14:paraId="308243B6" w14:textId="77777777" w:rsidR="0045148A" w:rsidRDefault="00000000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06C656D" w14:textId="77777777" w:rsidR="0045148A" w:rsidRDefault="00000000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297BC4F1" w14:textId="77777777" w:rsidR="0045148A" w:rsidRDefault="00000000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0C3F09D3" w14:textId="77777777" w:rsidR="0045148A" w:rsidRDefault="0045148A">
      <w:pPr>
        <w:pStyle w:val="Heading2"/>
        <w:jc w:val="center"/>
      </w:pPr>
    </w:p>
    <w:p w14:paraId="6968A6F0" w14:textId="77777777" w:rsidR="0045148A" w:rsidRDefault="00000000">
      <w:pPr>
        <w:pStyle w:val="Standard"/>
        <w:numPr>
          <w:ilvl w:val="0"/>
          <w:numId w:val="2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6ED9235F" w14:textId="77777777" w:rsidR="0045148A" w:rsidRDefault="0045148A">
      <w:pPr>
        <w:pStyle w:val="Standard"/>
        <w:ind w:left="426"/>
        <w:jc w:val="both"/>
        <w:rPr>
          <w:rFonts w:ascii="Arial" w:hAnsi="Arial" w:cs="Arial"/>
          <w:sz w:val="22"/>
          <w:szCs w:val="22"/>
        </w:rPr>
      </w:pPr>
    </w:p>
    <w:p w14:paraId="1B2ED9B7" w14:textId="77777777" w:rsidR="0045148A" w:rsidRDefault="00000000">
      <w:pPr>
        <w:pStyle w:val="Standard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14:paraId="6F631207" w14:textId="77777777" w:rsidR="0045148A" w:rsidRDefault="0045148A">
      <w:pPr>
        <w:pStyle w:val="Standard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6B77A7F" w14:textId="77777777" w:rsidR="0045148A" w:rsidRDefault="00000000">
      <w:pPr>
        <w:pStyle w:val="Standard"/>
        <w:numPr>
          <w:ilvl w:val="0"/>
          <w:numId w:val="10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 odložení stavebního odpadu je možné využít svozovou společnost, která za úplatu přistaví a odveze kontejner.</w:t>
      </w:r>
    </w:p>
    <w:p w14:paraId="07E33FD1" w14:textId="77777777" w:rsidR="0045148A" w:rsidRDefault="0045148A">
      <w:pPr>
        <w:pStyle w:val="Standard"/>
        <w:ind w:left="426" w:hanging="426"/>
        <w:jc w:val="both"/>
      </w:pPr>
    </w:p>
    <w:p w14:paraId="01E7F6AC" w14:textId="77777777" w:rsidR="0045148A" w:rsidRDefault="0045148A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3AEED411" w14:textId="77777777" w:rsidR="0045148A" w:rsidRDefault="00000000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10</w:t>
      </w:r>
    </w:p>
    <w:p w14:paraId="774A50C3" w14:textId="77777777" w:rsidR="0045148A" w:rsidRDefault="00000000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79094FB5" w14:textId="77777777" w:rsidR="0045148A" w:rsidRDefault="0045148A">
      <w:pPr>
        <w:pStyle w:val="Standard"/>
        <w:jc w:val="both"/>
      </w:pPr>
    </w:p>
    <w:p w14:paraId="7543D128" w14:textId="0F8C894A" w:rsidR="0045148A" w:rsidRDefault="00000000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Tato vyhláška nabývá účinnosti dnem 1.</w:t>
      </w:r>
      <w:r w:rsidR="008B1D0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.202</w:t>
      </w:r>
      <w:r w:rsidR="008B1D0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i/>
          <w:sz w:val="22"/>
          <w:szCs w:val="22"/>
        </w:rPr>
        <w:t>.</w:t>
      </w:r>
    </w:p>
    <w:p w14:paraId="45BBD5DB" w14:textId="77777777" w:rsidR="0045148A" w:rsidRDefault="0045148A">
      <w:pPr>
        <w:pStyle w:val="Standard"/>
        <w:jc w:val="both"/>
      </w:pPr>
    </w:p>
    <w:p w14:paraId="520802CE" w14:textId="77777777" w:rsidR="0045148A" w:rsidRDefault="0045148A">
      <w:pPr>
        <w:pStyle w:val="Standard"/>
        <w:jc w:val="both"/>
      </w:pPr>
    </w:p>
    <w:p w14:paraId="18608748" w14:textId="77777777" w:rsidR="0045148A" w:rsidRDefault="0045148A">
      <w:pPr>
        <w:pStyle w:val="Standard"/>
        <w:tabs>
          <w:tab w:val="left" w:pos="1080"/>
        </w:tabs>
        <w:ind w:left="540"/>
        <w:jc w:val="both"/>
      </w:pPr>
    </w:p>
    <w:p w14:paraId="4A32A4F4" w14:textId="77777777" w:rsidR="0045148A" w:rsidRDefault="0045148A">
      <w:pPr>
        <w:pStyle w:val="Standard"/>
        <w:tabs>
          <w:tab w:val="left" w:pos="1080"/>
        </w:tabs>
        <w:ind w:left="540"/>
        <w:jc w:val="both"/>
      </w:pPr>
    </w:p>
    <w:p w14:paraId="13EF0FA4" w14:textId="77777777" w:rsidR="0045148A" w:rsidRDefault="0045148A">
      <w:pPr>
        <w:pStyle w:val="Standard"/>
        <w:tabs>
          <w:tab w:val="left" w:pos="1080"/>
        </w:tabs>
        <w:ind w:left="540"/>
        <w:jc w:val="both"/>
      </w:pPr>
    </w:p>
    <w:p w14:paraId="5537C8BD" w14:textId="77777777" w:rsidR="0045148A" w:rsidRDefault="0045148A">
      <w:pPr>
        <w:pStyle w:val="Standard"/>
        <w:tabs>
          <w:tab w:val="left" w:pos="1080"/>
        </w:tabs>
        <w:ind w:left="540"/>
        <w:jc w:val="both"/>
      </w:pPr>
    </w:p>
    <w:p w14:paraId="581CE369" w14:textId="77777777" w:rsidR="0045148A" w:rsidRDefault="00000000">
      <w:pPr>
        <w:pStyle w:val="Standard"/>
        <w:ind w:left="708"/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………………...................</w:t>
      </w:r>
    </w:p>
    <w:p w14:paraId="674D0A6F" w14:textId="27D2F13E" w:rsidR="0045148A" w:rsidRDefault="00113A18">
      <w:pPr>
        <w:pStyle w:val="Standard"/>
        <w:ind w:firstLine="708"/>
      </w:pPr>
      <w:r>
        <w:rPr>
          <w:rFonts w:ascii="Arial" w:hAnsi="Arial" w:cs="Arial"/>
          <w:bCs/>
          <w:i/>
          <w:sz w:val="22"/>
          <w:szCs w:val="22"/>
        </w:rPr>
        <w:t>Jan Blaha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</w:t>
      </w:r>
      <w:r>
        <w:rPr>
          <w:rFonts w:ascii="Arial" w:hAnsi="Arial" w:cs="Arial"/>
          <w:bCs/>
          <w:i/>
          <w:sz w:val="22"/>
          <w:szCs w:val="22"/>
        </w:rPr>
        <w:t>Marcel Samek</w:t>
      </w:r>
    </w:p>
    <w:p w14:paraId="1196359E" w14:textId="627DA333" w:rsidR="0045148A" w:rsidRDefault="00000000">
      <w:pPr>
        <w:pStyle w:val="Standard"/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4A93BA73" w14:textId="77777777" w:rsidR="0045148A" w:rsidRDefault="0045148A">
      <w:pPr>
        <w:pStyle w:val="Standard"/>
        <w:rPr>
          <w:rFonts w:ascii="Arial" w:hAnsi="Arial" w:cs="Arial"/>
          <w:sz w:val="22"/>
          <w:szCs w:val="22"/>
        </w:rPr>
      </w:pPr>
    </w:p>
    <w:p w14:paraId="46ED277C" w14:textId="1D7B9E1F" w:rsidR="0045148A" w:rsidRDefault="0045148A">
      <w:pPr>
        <w:pStyle w:val="Standard"/>
        <w:rPr>
          <w:rFonts w:ascii="Arial" w:hAnsi="Arial" w:cs="Arial"/>
          <w:sz w:val="22"/>
          <w:szCs w:val="22"/>
        </w:rPr>
      </w:pPr>
    </w:p>
    <w:sectPr w:rsidR="0045148A">
      <w:footerReference w:type="default" r:id="rId7"/>
      <w:pgSz w:w="11906" w:h="16838"/>
      <w:pgMar w:top="1020" w:right="1418" w:bottom="818" w:left="1418" w:header="720" w:footer="4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F34C3" w14:textId="77777777" w:rsidR="00072511" w:rsidRDefault="00072511">
      <w:r>
        <w:separator/>
      </w:r>
    </w:p>
  </w:endnote>
  <w:endnote w:type="continuationSeparator" w:id="0">
    <w:p w14:paraId="308108E4" w14:textId="77777777" w:rsidR="00072511" w:rsidRDefault="0007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Symbol, 'Arial Unicode MS'">
    <w:panose1 w:val="020B0604020202020204"/>
    <w:charset w:val="00"/>
    <w:family w:val="auto"/>
    <w:pitch w:val="default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1520E" w14:textId="77777777" w:rsidR="00D7777A" w:rsidRDefault="00000000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0C45A327" w14:textId="77777777" w:rsidR="00D7777A" w:rsidRDefault="00D777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49946" w14:textId="77777777" w:rsidR="00072511" w:rsidRDefault="00072511">
      <w:r>
        <w:rPr>
          <w:color w:val="000000"/>
        </w:rPr>
        <w:separator/>
      </w:r>
    </w:p>
  </w:footnote>
  <w:footnote w:type="continuationSeparator" w:id="0">
    <w:p w14:paraId="10CD56B8" w14:textId="77777777" w:rsidR="00072511" w:rsidRDefault="00072511">
      <w:r>
        <w:continuationSeparator/>
      </w:r>
    </w:p>
  </w:footnote>
  <w:footnote w:id="1">
    <w:p w14:paraId="73EE4E79" w14:textId="77777777" w:rsidR="0045148A" w:rsidRDefault="00000000">
      <w:pPr>
        <w:pStyle w:val="Footnote"/>
      </w:pPr>
      <w:r>
        <w:rPr>
          <w:rStyle w:val="FootnoteReference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18458041" w14:textId="77777777" w:rsidR="0045148A" w:rsidRDefault="00000000">
      <w:pPr>
        <w:pStyle w:val="Footnote"/>
      </w:pPr>
      <w:r>
        <w:rPr>
          <w:rStyle w:val="FootnoteReference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0E21"/>
    <w:multiLevelType w:val="multilevel"/>
    <w:tmpl w:val="5B58D7D0"/>
    <w:styleLink w:val="WW8Num4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9DC75E2"/>
    <w:multiLevelType w:val="multilevel"/>
    <w:tmpl w:val="7554AE9A"/>
    <w:styleLink w:val="WW8Num12"/>
    <w:lvl w:ilvl="0">
      <w:numFmt w:val="bullet"/>
      <w:lvlText w:val=""/>
      <w:lvlJc w:val="left"/>
      <w:pPr>
        <w:ind w:left="720" w:hanging="360"/>
      </w:pPr>
      <w:rPr>
        <w:rFonts w:ascii="Arial" w:hAnsi="Arial" w:cs="Arial"/>
        <w:i w:val="0"/>
        <w:iCs w:val="0"/>
        <w:color w:val="000000"/>
        <w:sz w:val="22"/>
        <w:szCs w:val="22"/>
      </w:rPr>
    </w:lvl>
    <w:lvl w:ilvl="1">
      <w:numFmt w:val="bullet"/>
      <w:lvlText w:val=""/>
      <w:lvlJc w:val="left"/>
      <w:pPr>
        <w:ind w:left="1080" w:hanging="360"/>
      </w:pPr>
      <w:rPr>
        <w:rFonts w:ascii="Arial" w:hAnsi="Arial" w:cs="Arial"/>
        <w:i w:val="0"/>
        <w:iCs w:val="0"/>
        <w:color w:val="000000"/>
        <w:sz w:val="22"/>
        <w:szCs w:val="22"/>
      </w:rPr>
    </w:lvl>
    <w:lvl w:ilvl="2">
      <w:numFmt w:val="bullet"/>
      <w:lvlText w:val=""/>
      <w:lvlJc w:val="left"/>
      <w:pPr>
        <w:ind w:left="1440" w:hanging="360"/>
      </w:pPr>
      <w:rPr>
        <w:rFonts w:ascii="Arial" w:hAnsi="Arial" w:cs="Arial"/>
        <w:i w:val="0"/>
        <w:iCs w:val="0"/>
        <w:color w:val="000000"/>
        <w:sz w:val="22"/>
        <w:szCs w:val="22"/>
      </w:rPr>
    </w:lvl>
    <w:lvl w:ilvl="3">
      <w:numFmt w:val="bullet"/>
      <w:lvlText w:val=""/>
      <w:lvlJc w:val="left"/>
      <w:pPr>
        <w:ind w:left="1800" w:hanging="360"/>
      </w:pPr>
      <w:rPr>
        <w:rFonts w:ascii="Arial" w:hAnsi="Arial" w:cs="Arial"/>
        <w:i w:val="0"/>
        <w:iCs w:val="0"/>
        <w:color w:val="000000"/>
        <w:sz w:val="22"/>
        <w:szCs w:val="22"/>
      </w:rPr>
    </w:lvl>
    <w:lvl w:ilvl="4">
      <w:numFmt w:val="bullet"/>
      <w:lvlText w:val=""/>
      <w:lvlJc w:val="left"/>
      <w:pPr>
        <w:ind w:left="2160" w:hanging="360"/>
      </w:pPr>
      <w:rPr>
        <w:rFonts w:ascii="Arial" w:hAnsi="Arial" w:cs="Arial"/>
        <w:i w:val="0"/>
        <w:iCs w:val="0"/>
        <w:color w:val="000000"/>
        <w:sz w:val="22"/>
        <w:szCs w:val="22"/>
      </w:rPr>
    </w:lvl>
    <w:lvl w:ilvl="5">
      <w:numFmt w:val="bullet"/>
      <w:lvlText w:val=""/>
      <w:lvlJc w:val="left"/>
      <w:pPr>
        <w:ind w:left="2520" w:hanging="360"/>
      </w:pPr>
      <w:rPr>
        <w:rFonts w:ascii="Arial" w:hAnsi="Arial" w:cs="Arial"/>
        <w:i w:val="0"/>
        <w:iCs w:val="0"/>
        <w:color w:val="000000"/>
        <w:sz w:val="22"/>
        <w:szCs w:val="22"/>
      </w:rPr>
    </w:lvl>
    <w:lvl w:ilvl="6">
      <w:numFmt w:val="bullet"/>
      <w:lvlText w:val=""/>
      <w:lvlJc w:val="left"/>
      <w:pPr>
        <w:ind w:left="2880" w:hanging="360"/>
      </w:pPr>
      <w:rPr>
        <w:rFonts w:ascii="Arial" w:hAnsi="Arial" w:cs="Arial"/>
        <w:i w:val="0"/>
        <w:iCs w:val="0"/>
        <w:color w:val="000000"/>
        <w:sz w:val="22"/>
        <w:szCs w:val="22"/>
      </w:rPr>
    </w:lvl>
    <w:lvl w:ilvl="7">
      <w:numFmt w:val="bullet"/>
      <w:lvlText w:val=""/>
      <w:lvlJc w:val="left"/>
      <w:pPr>
        <w:ind w:left="3240" w:hanging="360"/>
      </w:pPr>
      <w:rPr>
        <w:rFonts w:ascii="Arial" w:hAnsi="Arial" w:cs="Arial"/>
        <w:i w:val="0"/>
        <w:iCs w:val="0"/>
        <w:color w:val="000000"/>
        <w:sz w:val="22"/>
        <w:szCs w:val="22"/>
      </w:rPr>
    </w:lvl>
    <w:lvl w:ilvl="8">
      <w:numFmt w:val="bullet"/>
      <w:lvlText w:val=""/>
      <w:lvlJc w:val="left"/>
      <w:pPr>
        <w:ind w:left="3600" w:hanging="360"/>
      </w:pPr>
      <w:rPr>
        <w:rFonts w:ascii="Arial" w:hAnsi="Arial" w:cs="Arial"/>
        <w:i w:val="0"/>
        <w:iCs w:val="0"/>
        <w:color w:val="000000"/>
        <w:sz w:val="22"/>
        <w:szCs w:val="22"/>
      </w:rPr>
    </w:lvl>
  </w:abstractNum>
  <w:abstractNum w:abstractNumId="2" w15:restartNumberingAfterBreak="0">
    <w:nsid w:val="33A45741"/>
    <w:multiLevelType w:val="multilevel"/>
    <w:tmpl w:val="671E892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Arial" w:hAnsi="Arial" w:cs="Arial"/>
        <w:bCs/>
        <w:i/>
        <w:iCs/>
        <w:color w:val="000000"/>
        <w:sz w:val="22"/>
        <w:szCs w:val="22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355531B3"/>
    <w:multiLevelType w:val="multilevel"/>
    <w:tmpl w:val="9C40F3AC"/>
    <w:styleLink w:val="WW8Num14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i w:val="0"/>
        <w:iCs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53E203C"/>
    <w:multiLevelType w:val="multilevel"/>
    <w:tmpl w:val="85685100"/>
    <w:styleLink w:val="WW8Num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7553EBD"/>
    <w:multiLevelType w:val="multilevel"/>
    <w:tmpl w:val="2CAC1116"/>
    <w:styleLink w:val="WW8Num8"/>
    <w:lvl w:ilvl="0">
      <w:start w:val="1"/>
      <w:numFmt w:val="lowerLetter"/>
      <w:lvlText w:val="%1)"/>
      <w:lvlJc w:val="left"/>
      <w:pPr>
        <w:ind w:left="786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E8F0204"/>
    <w:multiLevelType w:val="multilevel"/>
    <w:tmpl w:val="20EA2B40"/>
    <w:styleLink w:val="WW8Num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73B3C59"/>
    <w:multiLevelType w:val="multilevel"/>
    <w:tmpl w:val="D310AB4C"/>
    <w:styleLink w:val="WW8Num3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i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C2C5779"/>
    <w:multiLevelType w:val="multilevel"/>
    <w:tmpl w:val="23EECD42"/>
    <w:styleLink w:val="WW8Num9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i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C905161"/>
    <w:multiLevelType w:val="multilevel"/>
    <w:tmpl w:val="67A0FAD6"/>
    <w:styleLink w:val="WW8Num11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6E80E5F"/>
    <w:multiLevelType w:val="multilevel"/>
    <w:tmpl w:val="13C24268"/>
    <w:styleLink w:val="WW8Num5"/>
    <w:lvl w:ilvl="0">
      <w:start w:val="1"/>
      <w:numFmt w:val="decimal"/>
      <w:lvlText w:val="%1)"/>
      <w:lvlJc w:val="left"/>
      <w:pPr>
        <w:ind w:left="36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6B9A51CA"/>
    <w:multiLevelType w:val="multilevel"/>
    <w:tmpl w:val="DFE27054"/>
    <w:styleLink w:val="WW8Num13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Cs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C891E57"/>
    <w:multiLevelType w:val="multilevel"/>
    <w:tmpl w:val="5D2E10D0"/>
    <w:styleLink w:val="WW8Num7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73514A56"/>
    <w:multiLevelType w:val="multilevel"/>
    <w:tmpl w:val="211EE94C"/>
    <w:styleLink w:val="WW8Num10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i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657071504">
    <w:abstractNumId w:val="2"/>
  </w:num>
  <w:num w:numId="2" w16cid:durableId="1773088716">
    <w:abstractNumId w:val="4"/>
  </w:num>
  <w:num w:numId="3" w16cid:durableId="168182101">
    <w:abstractNumId w:val="7"/>
  </w:num>
  <w:num w:numId="4" w16cid:durableId="2080055340">
    <w:abstractNumId w:val="0"/>
  </w:num>
  <w:num w:numId="5" w16cid:durableId="123352075">
    <w:abstractNumId w:val="10"/>
  </w:num>
  <w:num w:numId="6" w16cid:durableId="1216968140">
    <w:abstractNumId w:val="6"/>
  </w:num>
  <w:num w:numId="7" w16cid:durableId="847523220">
    <w:abstractNumId w:val="12"/>
  </w:num>
  <w:num w:numId="8" w16cid:durableId="1847938158">
    <w:abstractNumId w:val="5"/>
  </w:num>
  <w:num w:numId="9" w16cid:durableId="1756585759">
    <w:abstractNumId w:val="8"/>
  </w:num>
  <w:num w:numId="10" w16cid:durableId="1311667179">
    <w:abstractNumId w:val="13"/>
  </w:num>
  <w:num w:numId="11" w16cid:durableId="854154416">
    <w:abstractNumId w:val="9"/>
  </w:num>
  <w:num w:numId="12" w16cid:durableId="1552572001">
    <w:abstractNumId w:val="1"/>
  </w:num>
  <w:num w:numId="13" w16cid:durableId="1956063345">
    <w:abstractNumId w:val="11"/>
  </w:num>
  <w:num w:numId="14" w16cid:durableId="1473019350">
    <w:abstractNumId w:val="3"/>
  </w:num>
  <w:num w:numId="15" w16cid:durableId="512304479">
    <w:abstractNumId w:val="0"/>
    <w:lvlOverride w:ilvl="0">
      <w:startOverride w:val="1"/>
    </w:lvlOverride>
  </w:num>
  <w:num w:numId="16" w16cid:durableId="1486891921">
    <w:abstractNumId w:val="11"/>
    <w:lvlOverride w:ilvl="0">
      <w:startOverride w:val="1"/>
    </w:lvlOverride>
  </w:num>
  <w:num w:numId="17" w16cid:durableId="236018992">
    <w:abstractNumId w:val="5"/>
    <w:lvlOverride w:ilvl="0">
      <w:startOverride w:val="1"/>
    </w:lvlOverride>
  </w:num>
  <w:num w:numId="18" w16cid:durableId="1437554708">
    <w:abstractNumId w:val="8"/>
    <w:lvlOverride w:ilvl="0">
      <w:startOverride w:val="1"/>
    </w:lvlOverride>
  </w:num>
  <w:num w:numId="19" w16cid:durableId="513761693">
    <w:abstractNumId w:val="4"/>
    <w:lvlOverride w:ilvl="0">
      <w:startOverride w:val="1"/>
    </w:lvlOverride>
  </w:num>
  <w:num w:numId="20" w16cid:durableId="1290281009">
    <w:abstractNumId w:val="6"/>
    <w:lvlOverride w:ilvl="0">
      <w:startOverride w:val="1"/>
    </w:lvlOverride>
  </w:num>
  <w:num w:numId="21" w16cid:durableId="1672029434">
    <w:abstractNumId w:val="10"/>
    <w:lvlOverride w:ilvl="0">
      <w:startOverride w:val="1"/>
    </w:lvlOverride>
  </w:num>
  <w:num w:numId="22" w16cid:durableId="817720773">
    <w:abstractNumId w:val="12"/>
    <w:lvlOverride w:ilvl="0">
      <w:startOverride w:val="1"/>
    </w:lvlOverride>
  </w:num>
  <w:num w:numId="23" w16cid:durableId="281151455">
    <w:abstractNumId w:val="9"/>
    <w:lvlOverride w:ilvl="0">
      <w:startOverride w:val="1"/>
    </w:lvlOverride>
  </w:num>
  <w:num w:numId="24" w16cid:durableId="767625825">
    <w:abstractNumId w:val="3"/>
    <w:lvlOverride w:ilvl="0">
      <w:startOverride w:val="1"/>
    </w:lvlOverride>
  </w:num>
  <w:num w:numId="25" w16cid:durableId="2045446472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48A"/>
    <w:rsid w:val="00072511"/>
    <w:rsid w:val="00113A18"/>
    <w:rsid w:val="0045148A"/>
    <w:rsid w:val="0074140D"/>
    <w:rsid w:val="008B1D01"/>
    <w:rsid w:val="00C15351"/>
    <w:rsid w:val="00D7777A"/>
    <w:rsid w:val="00FC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DABDC30"/>
  <w15:docId w15:val="{194A6A50-DF34-E44F-B712-9E7743B9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Standard"/>
    <w:next w:val="Standard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szCs w:val="20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pPr>
      <w:ind w:left="708" w:firstLine="357"/>
      <w:jc w:val="both"/>
    </w:pPr>
    <w:rPr>
      <w:szCs w:val="20"/>
    </w:rPr>
  </w:style>
  <w:style w:type="paragraph" w:customStyle="1" w:styleId="Zkladntextodsazen2">
    <w:name w:val="Základní text odsazený 2"/>
    <w:basedOn w:val="Standard"/>
    <w:pPr>
      <w:ind w:left="708" w:firstLine="360"/>
      <w:jc w:val="both"/>
    </w:pPr>
    <w:rPr>
      <w:bCs/>
      <w:szCs w:val="20"/>
    </w:rPr>
  </w:style>
  <w:style w:type="paragraph" w:styleId="Header">
    <w:name w:val="header"/>
    <w:basedOn w:val="Standard"/>
    <w:pPr>
      <w:tabs>
        <w:tab w:val="center" w:pos="4536"/>
        <w:tab w:val="right" w:pos="9072"/>
      </w:tabs>
    </w:pPr>
    <w:rPr>
      <w:szCs w:val="20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NormlnIMP">
    <w:name w:val="Normální_IMP"/>
    <w:basedOn w:val="Standard"/>
    <w:pPr>
      <w:overflowPunct w:val="0"/>
      <w:autoSpaceDE w:val="0"/>
      <w:spacing w:line="228" w:lineRule="auto"/>
      <w:jc w:val="both"/>
    </w:pPr>
    <w:rPr>
      <w:szCs w:val="20"/>
    </w:rPr>
  </w:style>
  <w:style w:type="paragraph" w:customStyle="1" w:styleId="Textkomente">
    <w:name w:val="Text komentáře"/>
    <w:basedOn w:val="Standard"/>
    <w:rPr>
      <w:sz w:val="20"/>
      <w:szCs w:val="20"/>
    </w:rPr>
  </w:style>
  <w:style w:type="paragraph" w:customStyle="1" w:styleId="Zkladntextodsazen3">
    <w:name w:val="Základní text odsazený 3"/>
    <w:basedOn w:val="Standard"/>
    <w:pPr>
      <w:widowControl w:val="0"/>
      <w:tabs>
        <w:tab w:val="left" w:pos="1080"/>
      </w:tabs>
      <w:ind w:left="540" w:hanging="540"/>
      <w:jc w:val="both"/>
    </w:pPr>
    <w:rPr>
      <w:bCs/>
    </w:rPr>
  </w:style>
  <w:style w:type="paragraph" w:customStyle="1" w:styleId="Textbubliny">
    <w:name w:val="Text bubliny"/>
    <w:basedOn w:val="Standard"/>
    <w:rPr>
      <w:rFonts w:ascii="Tahoma" w:hAnsi="Tahoma" w:cs="Tahoma"/>
      <w:sz w:val="16"/>
      <w:szCs w:val="16"/>
    </w:rPr>
  </w:style>
  <w:style w:type="paragraph" w:customStyle="1" w:styleId="Odstavecseseznamem">
    <w:name w:val="Odstavec se seznamem"/>
    <w:basedOn w:val="Standar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Pedmtkomente">
    <w:name w:val="Předmět komentáře"/>
    <w:basedOn w:val="Textkomente"/>
    <w:next w:val="Textkomente"/>
    <w:rPr>
      <w:b/>
      <w:bCs/>
    </w:rPr>
  </w:style>
  <w:style w:type="paragraph" w:styleId="Footer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widowControl/>
      <w:autoSpaceDE w:val="0"/>
    </w:pPr>
    <w:rPr>
      <w:rFonts w:ascii="Arial" w:eastAsia="Times New Roman" w:hAnsi="Arial" w:cs="Arial"/>
      <w:color w:val="000000"/>
      <w:lang w:bidi="ar-SA"/>
    </w:rPr>
  </w:style>
  <w:style w:type="character" w:customStyle="1" w:styleId="WW8Num1z0">
    <w:name w:val="WW8Num1z0"/>
    <w:rPr>
      <w:rFonts w:ascii="Arial" w:hAnsi="Arial" w:cs="Arial"/>
      <w:bCs/>
      <w:i/>
      <w:iCs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rFonts w:ascii="Arial" w:hAnsi="Arial" w:cs="Arial"/>
      <w:i/>
      <w:color w:val="000000"/>
      <w:sz w:val="22"/>
      <w:szCs w:val="22"/>
    </w:rPr>
  </w:style>
  <w:style w:type="character" w:customStyle="1" w:styleId="WW8Num4z0">
    <w:name w:val="WW8Num4z0"/>
    <w:rPr>
      <w:rFonts w:ascii="Arial" w:hAnsi="Arial" w:cs="Arial"/>
      <w:sz w:val="22"/>
      <w:szCs w:val="22"/>
    </w:rPr>
  </w:style>
  <w:style w:type="character" w:customStyle="1" w:styleId="WW8Num5z0">
    <w:name w:val="WW8Num5z0"/>
    <w:rPr>
      <w:rFonts w:cs="Arial"/>
    </w:rPr>
  </w:style>
  <w:style w:type="character" w:customStyle="1" w:styleId="WW8Num6z0">
    <w:name w:val="WW8Num6z0"/>
    <w:rPr>
      <w:rFonts w:ascii="Arial" w:hAnsi="Arial" w:cs="Arial"/>
      <w:sz w:val="22"/>
      <w:szCs w:val="22"/>
    </w:rPr>
  </w:style>
  <w:style w:type="character" w:customStyle="1" w:styleId="WW8Num7z0">
    <w:name w:val="WW8Num7z0"/>
    <w:rPr>
      <w:rFonts w:ascii="Arial" w:hAnsi="Arial" w:cs="Arial"/>
      <w:color w:val="000000"/>
      <w:sz w:val="22"/>
      <w:szCs w:val="22"/>
    </w:rPr>
  </w:style>
  <w:style w:type="character" w:customStyle="1" w:styleId="WW8Num8z0">
    <w:name w:val="WW8Num8z0"/>
    <w:rPr>
      <w:rFonts w:cs="Arial"/>
    </w:rPr>
  </w:style>
  <w:style w:type="character" w:customStyle="1" w:styleId="WW8Num9z0">
    <w:name w:val="WW8Num9z0"/>
    <w:rPr>
      <w:rFonts w:ascii="Arial" w:hAnsi="Arial" w:cs="Arial"/>
      <w:iCs/>
      <w:color w:val="000000"/>
      <w:sz w:val="22"/>
      <w:szCs w:val="22"/>
    </w:rPr>
  </w:style>
  <w:style w:type="character" w:customStyle="1" w:styleId="WW8Num10z0">
    <w:name w:val="WW8Num10z0"/>
    <w:rPr>
      <w:rFonts w:ascii="Arial" w:hAnsi="Arial" w:cs="Arial"/>
      <w:i/>
      <w:sz w:val="22"/>
      <w:szCs w:val="22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ascii="Arial" w:hAnsi="Arial" w:cs="Arial"/>
      <w:i w:val="0"/>
      <w:iCs w:val="0"/>
      <w:color w:val="000000"/>
      <w:sz w:val="22"/>
      <w:szCs w:val="22"/>
    </w:rPr>
  </w:style>
  <w:style w:type="character" w:customStyle="1" w:styleId="WW8Num13z0">
    <w:name w:val="WW8Num13z0"/>
    <w:rPr>
      <w:rFonts w:ascii="Arial" w:hAnsi="Arial" w:cs="Arial"/>
      <w:bCs/>
      <w:i w:val="0"/>
      <w:iCs w:val="0"/>
      <w:color w:val="000000"/>
      <w:sz w:val="22"/>
      <w:szCs w:val="22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"/>
      <w:i w:val="0"/>
      <w:iCs/>
      <w:sz w:val="22"/>
      <w:szCs w:val="22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cs="Times New Roman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5z0">
    <w:name w:val="WW8Num15z0"/>
    <w:rPr>
      <w:rFonts w:ascii="Arial" w:hAnsi="Arial" w:cs="Arial"/>
      <w:strike w:val="0"/>
      <w:dstrike w:val="0"/>
      <w:color w:val="000000"/>
      <w:sz w:val="22"/>
      <w:szCs w:val="2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color w:val="00000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i w:val="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/>
      <w:sz w:val="22"/>
      <w:szCs w:val="2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eastAsia="Times New Roman" w:hAnsi="Arial" w:cs="Arial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  <w:rPr>
      <w:rFonts w:ascii="Arial" w:eastAsia="Times New Roman" w:hAnsi="Arial" w:cs="Times New Roman"/>
      <w:bCs/>
      <w:i/>
      <w:iCs/>
      <w:color w:val="000000"/>
      <w:sz w:val="22"/>
      <w:szCs w:val="22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ascii="Arial" w:hAnsi="Arial" w:cs="Arial"/>
      <w:b w:val="0"/>
      <w:sz w:val="22"/>
      <w:szCs w:val="22"/>
      <w:u w:val="none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" w:hAnsi="Arial" w:cs="Arial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hAnsi="Arial" w:cs="Arial"/>
      <w:i/>
      <w:sz w:val="22"/>
      <w:szCs w:val="22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strike w:val="0"/>
      <w:dstrike w:val="0"/>
      <w:color w:val="00000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eastAsia="Times New Roman" w:hAnsi="Arial" w:cs="Arial"/>
      <w:i/>
      <w:color w:val="000000"/>
      <w:sz w:val="22"/>
      <w:szCs w:val="22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Standardnpsmoodstavce">
    <w:name w:val="Standardní písmo odstavce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Odkaznakoment">
    <w:name w:val="Odkaz na komentář"/>
    <w:rPr>
      <w:sz w:val="16"/>
      <w:szCs w:val="16"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yprovysvtlivky">
    <w:name w:val="WW-Znaky pro vysvětlivky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numbering" w:customStyle="1" w:styleId="WW8Num6">
    <w:name w:val="WW8Num6"/>
    <w:basedOn w:val="NoList"/>
    <w:pPr>
      <w:numPr>
        <w:numId w:val="6"/>
      </w:numPr>
    </w:pPr>
  </w:style>
  <w:style w:type="numbering" w:customStyle="1" w:styleId="WW8Num7">
    <w:name w:val="WW8Num7"/>
    <w:basedOn w:val="NoList"/>
    <w:pPr>
      <w:numPr>
        <w:numId w:val="7"/>
      </w:numPr>
    </w:pPr>
  </w:style>
  <w:style w:type="numbering" w:customStyle="1" w:styleId="WW8Num8">
    <w:name w:val="WW8Num8"/>
    <w:basedOn w:val="NoList"/>
    <w:pPr>
      <w:numPr>
        <w:numId w:val="8"/>
      </w:numPr>
    </w:pPr>
  </w:style>
  <w:style w:type="numbering" w:customStyle="1" w:styleId="WW8Num9">
    <w:name w:val="WW8Num9"/>
    <w:basedOn w:val="NoList"/>
    <w:pPr>
      <w:numPr>
        <w:numId w:val="9"/>
      </w:numPr>
    </w:pPr>
  </w:style>
  <w:style w:type="numbering" w:customStyle="1" w:styleId="WW8Num10">
    <w:name w:val="WW8Num10"/>
    <w:basedOn w:val="NoList"/>
    <w:pPr>
      <w:numPr>
        <w:numId w:val="10"/>
      </w:numPr>
    </w:pPr>
  </w:style>
  <w:style w:type="numbering" w:customStyle="1" w:styleId="WW8Num11">
    <w:name w:val="WW8Num11"/>
    <w:basedOn w:val="NoList"/>
    <w:pPr>
      <w:numPr>
        <w:numId w:val="11"/>
      </w:numPr>
    </w:pPr>
  </w:style>
  <w:style w:type="numbering" w:customStyle="1" w:styleId="WW8Num12">
    <w:name w:val="WW8Num12"/>
    <w:basedOn w:val="NoList"/>
    <w:pPr>
      <w:numPr>
        <w:numId w:val="12"/>
      </w:numPr>
    </w:pPr>
  </w:style>
  <w:style w:type="numbering" w:customStyle="1" w:styleId="WW8Num13">
    <w:name w:val="WW8Num13"/>
    <w:basedOn w:val="NoList"/>
    <w:pPr>
      <w:numPr>
        <w:numId w:val="13"/>
      </w:numPr>
    </w:pPr>
  </w:style>
  <w:style w:type="numbering" w:customStyle="1" w:styleId="WW8Num14">
    <w:name w:val="WW8Num14"/>
    <w:basedOn w:val="NoList"/>
    <w:pPr>
      <w:numPr>
        <w:numId w:val="14"/>
      </w:numPr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962</Words>
  <Characters>5484</Characters>
  <Application>Microsoft Office Word</Application>
  <DocSecurity>0</DocSecurity>
  <Lines>45</Lines>
  <Paragraphs>12</Paragraphs>
  <ScaleCrop>false</ScaleCrop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Marcel Samek</cp:lastModifiedBy>
  <cp:revision>3</cp:revision>
  <cp:lastPrinted>2020-12-03T10:05:00Z</cp:lastPrinted>
  <dcterms:created xsi:type="dcterms:W3CDTF">2025-06-30T13:44:00Z</dcterms:created>
  <dcterms:modified xsi:type="dcterms:W3CDTF">2025-12-09T09:30:00Z</dcterms:modified>
</cp:coreProperties>
</file>