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6F7BF9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038ED">
        <w:rPr>
          <w:rFonts w:ascii="Arial" w:hAnsi="Arial" w:cs="Arial"/>
          <w:b/>
        </w:rPr>
        <w:t>Klučov</w:t>
      </w:r>
    </w:p>
    <w:p w14:paraId="182B433B" w14:textId="097D5FD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9D1A09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947713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038ED">
        <w:rPr>
          <w:rFonts w:ascii="Arial" w:hAnsi="Arial" w:cs="Arial"/>
          <w:sz w:val="22"/>
          <w:szCs w:val="22"/>
        </w:rPr>
        <w:t>Klučov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038ED">
        <w:rPr>
          <w:rFonts w:ascii="Arial" w:hAnsi="Arial" w:cs="Arial"/>
          <w:sz w:val="22"/>
          <w:szCs w:val="22"/>
        </w:rPr>
        <w:t>16.11.2023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952859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038ED">
        <w:rPr>
          <w:rFonts w:ascii="Arial" w:hAnsi="Arial" w:cs="Arial"/>
          <w:sz w:val="22"/>
          <w:szCs w:val="22"/>
        </w:rPr>
        <w:t>Klučov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8780900" w14:textId="5B84A0DE" w:rsidR="00893F98" w:rsidRPr="006038ED" w:rsidRDefault="00B50D1A" w:rsidP="00950C80">
      <w:pPr>
        <w:numPr>
          <w:ilvl w:val="0"/>
          <w:numId w:val="1"/>
        </w:numPr>
        <w:spacing w:before="480" w:line="288" w:lineRule="auto"/>
        <w:jc w:val="both"/>
        <w:rPr>
          <w:rFonts w:ascii="Arial" w:hAnsi="Arial" w:cs="Arial"/>
        </w:rPr>
      </w:pPr>
      <w:r w:rsidRPr="006038ED">
        <w:rPr>
          <w:rFonts w:ascii="Arial" w:hAnsi="Arial" w:cs="Arial"/>
          <w:sz w:val="22"/>
          <w:szCs w:val="22"/>
        </w:rPr>
        <w:t>S</w:t>
      </w:r>
      <w:r w:rsidR="00E4247A" w:rsidRPr="006038ED">
        <w:rPr>
          <w:rFonts w:ascii="Arial" w:hAnsi="Arial" w:cs="Arial"/>
          <w:sz w:val="22"/>
          <w:szCs w:val="22"/>
        </w:rPr>
        <w:t xml:space="preserve">právcem poplatku je obecní úřad </w:t>
      </w:r>
      <w:r w:rsidR="00893F98" w:rsidRPr="006038ED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1F84B1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DB539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A0A74">
        <w:rPr>
          <w:rFonts w:ascii="Arial" w:hAnsi="Arial" w:cs="Arial"/>
          <w:sz w:val="22"/>
          <w:szCs w:val="22"/>
        </w:rPr>
        <w:t>…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1597EF4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6038ED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62C28D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038ED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CB116F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038ED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489D6C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038ED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165B6E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038ED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EFA7A6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038ED">
        <w:rPr>
          <w:rFonts w:ascii="Arial" w:hAnsi="Arial" w:cs="Arial"/>
          <w:sz w:val="22"/>
          <w:szCs w:val="22"/>
        </w:rPr>
        <w:t>30.9.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B3519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038ED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2F6B8FE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 xml:space="preserve">Úleva se </w:t>
      </w:r>
      <w:r w:rsidR="006038ED">
        <w:rPr>
          <w:rFonts w:ascii="Arial" w:hAnsi="Arial" w:cs="Arial"/>
          <w:sz w:val="22"/>
          <w:szCs w:val="22"/>
        </w:rPr>
        <w:t>neposkytuje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AAB98F" w14:textId="77777777" w:rsidR="006038ED" w:rsidRPr="00DC518A" w:rsidRDefault="006038ED" w:rsidP="006038E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334C318B" w14:textId="12C235DD"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2E7D058C" w14:textId="55BA60AB" w:rsidR="00C735F5" w:rsidRDefault="00C735F5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Osoba, která je ke dni účinnosti této vyhlášky držitelem psa staršího 3 měsíců, je povinna splnit ohlašovací povinnost podle čl. 3 odst. 1 této vyhlášky do </w:t>
      </w:r>
      <w:r w:rsidR="007E64A6">
        <w:rPr>
          <w:rFonts w:ascii="Arial" w:hAnsi="Arial" w:cs="Arial"/>
          <w:b w:val="0"/>
          <w:sz w:val="22"/>
          <w:szCs w:val="22"/>
        </w:rPr>
        <w:t>30</w:t>
      </w:r>
      <w:r>
        <w:rPr>
          <w:rFonts w:ascii="Arial" w:hAnsi="Arial" w:cs="Arial"/>
          <w:b w:val="0"/>
          <w:sz w:val="22"/>
          <w:szCs w:val="22"/>
        </w:rPr>
        <w:t xml:space="preserve"> dnů ode dne nabytí její účinnosti.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48010A4" w:rsidR="00C735F5" w:rsidRDefault="009E6604" w:rsidP="007E64A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7E64A6">
        <w:rPr>
          <w:rFonts w:ascii="Arial" w:hAnsi="Arial" w:cs="Arial"/>
          <w:sz w:val="22"/>
          <w:szCs w:val="22"/>
        </w:rPr>
        <w:t>2/202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E64A6">
        <w:rPr>
          <w:rFonts w:ascii="Arial" w:hAnsi="Arial" w:cs="Arial"/>
          <w:i/>
          <w:sz w:val="22"/>
          <w:szCs w:val="22"/>
        </w:rPr>
        <w:t>30.12.2019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0DBE4D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E64A6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831758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4DBC6C8" w14:textId="77777777" w:rsidR="00DD6192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</w:t>
      </w:r>
    </w:p>
    <w:p w14:paraId="0B863C08" w14:textId="473F92BE" w:rsidR="00A80117" w:rsidRPr="00DF5857" w:rsidRDefault="00DD6192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>............................</w:t>
      </w:r>
      <w:r w:rsidR="00A80117"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F94FE9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E64A6">
        <w:rPr>
          <w:rFonts w:ascii="Arial" w:hAnsi="Arial" w:cs="Arial"/>
          <w:sz w:val="22"/>
          <w:szCs w:val="22"/>
        </w:rPr>
        <w:t>Václav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E64A6">
        <w:rPr>
          <w:rFonts w:ascii="Arial" w:hAnsi="Arial" w:cs="Arial"/>
          <w:sz w:val="22"/>
          <w:szCs w:val="22"/>
        </w:rPr>
        <w:t>Los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E64A6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="007E64A6">
        <w:rPr>
          <w:rFonts w:ascii="Arial" w:hAnsi="Arial" w:cs="Arial"/>
          <w:sz w:val="22"/>
          <w:szCs w:val="22"/>
        </w:rPr>
        <w:t>Zoňa</w:t>
      </w:r>
      <w:proofErr w:type="spellEnd"/>
      <w:r w:rsidR="007E64A6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50B0" w14:textId="77777777" w:rsidR="0020370B" w:rsidRDefault="0020370B">
      <w:r>
        <w:separator/>
      </w:r>
    </w:p>
  </w:endnote>
  <w:endnote w:type="continuationSeparator" w:id="0">
    <w:p w14:paraId="1531D30F" w14:textId="77777777" w:rsidR="0020370B" w:rsidRDefault="0020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3B38" w14:textId="77777777" w:rsidR="0020370B" w:rsidRDefault="0020370B">
      <w:r>
        <w:separator/>
      </w:r>
    </w:p>
  </w:footnote>
  <w:footnote w:type="continuationSeparator" w:id="0">
    <w:p w14:paraId="5CAFE46A" w14:textId="77777777" w:rsidR="0020370B" w:rsidRDefault="0020370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49D596C" w14:textId="77777777" w:rsidR="006038ED" w:rsidRPr="00BA1E8D" w:rsidRDefault="006038ED" w:rsidP="006038E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1205459">
    <w:abstractNumId w:val="15"/>
  </w:num>
  <w:num w:numId="2" w16cid:durableId="2099019484">
    <w:abstractNumId w:val="17"/>
  </w:num>
  <w:num w:numId="3" w16cid:durableId="947468006">
    <w:abstractNumId w:val="8"/>
  </w:num>
  <w:num w:numId="4" w16cid:durableId="2105344543">
    <w:abstractNumId w:val="12"/>
  </w:num>
  <w:num w:numId="5" w16cid:durableId="28721622">
    <w:abstractNumId w:val="13"/>
  </w:num>
  <w:num w:numId="6" w16cid:durableId="1335179956">
    <w:abstractNumId w:val="5"/>
  </w:num>
  <w:num w:numId="7" w16cid:durableId="14885069">
    <w:abstractNumId w:val="0"/>
  </w:num>
  <w:num w:numId="8" w16cid:durableId="1577474444">
    <w:abstractNumId w:val="9"/>
  </w:num>
  <w:num w:numId="9" w16cid:durableId="1643730874">
    <w:abstractNumId w:val="6"/>
  </w:num>
  <w:num w:numId="10" w16cid:durableId="1270118192">
    <w:abstractNumId w:val="10"/>
  </w:num>
  <w:num w:numId="11" w16cid:durableId="687683718">
    <w:abstractNumId w:val="2"/>
  </w:num>
  <w:num w:numId="12" w16cid:durableId="149836490">
    <w:abstractNumId w:val="4"/>
  </w:num>
  <w:num w:numId="13" w16cid:durableId="888031441">
    <w:abstractNumId w:val="11"/>
  </w:num>
  <w:num w:numId="14" w16cid:durableId="4159062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166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2524995">
    <w:abstractNumId w:val="14"/>
  </w:num>
  <w:num w:numId="17" w16cid:durableId="541671456">
    <w:abstractNumId w:val="16"/>
  </w:num>
  <w:num w:numId="18" w16cid:durableId="1116871086">
    <w:abstractNumId w:val="1"/>
  </w:num>
  <w:num w:numId="19" w16cid:durableId="268006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370B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38ED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64A6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40B0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6192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Los Los</cp:lastModifiedBy>
  <cp:revision>2</cp:revision>
  <cp:lastPrinted>2019-09-23T08:46:00Z</cp:lastPrinted>
  <dcterms:created xsi:type="dcterms:W3CDTF">2023-11-23T16:26:00Z</dcterms:created>
  <dcterms:modified xsi:type="dcterms:W3CDTF">2023-11-23T16:26:00Z</dcterms:modified>
</cp:coreProperties>
</file>