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Zhlav"/>
        <w:tabs>
          <w:tab w:val="clear" w:pos="4536"/>
          <w:tab w:val="clear" w:pos="9072"/>
        </w:tabs>
        <w:rPr/>
      </w:pPr>
      <w:r>
        <w:rPr/>
      </w:r>
    </w:p>
    <w:p>
      <w:pPr>
        <w:pStyle w:val="Nzev"/>
        <w:spacing w:before="0" w:after="0"/>
        <w:rPr>
          <w:sz w:val="28"/>
          <w:szCs w:val="28"/>
        </w:rPr>
      </w:pPr>
      <w:r>
        <w:rPr>
          <w:sz w:val="28"/>
          <w:szCs w:val="28"/>
        </w:rPr>
        <w:t>Obec Jívka</w:t>
      </w:r>
    </w:p>
    <w:p>
      <w:pPr>
        <w:pStyle w:val="Nzev"/>
        <w:spacing w:before="0" w:after="0"/>
        <w:rPr>
          <w:color w:val="000000"/>
          <w:sz w:val="28"/>
          <w:szCs w:val="28"/>
        </w:rPr>
      </w:pPr>
      <w:r>
        <w:rPr>
          <w:color w:val="000000"/>
          <w:sz w:val="28"/>
          <w:szCs w:val="28"/>
        </w:rPr>
        <w:t xml:space="preserve">Zastupitelstvo obce </w:t>
      </w:r>
    </w:p>
    <w:p>
      <w:pPr>
        <w:pStyle w:val="Nzev"/>
        <w:spacing w:before="0" w:after="0"/>
        <w:rPr/>
      </w:pPr>
      <w:r>
        <w:rPr/>
        <w:drawing>
          <wp:inline distT="0" distB="0" distL="0" distR="0">
            <wp:extent cx="754380" cy="861060"/>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54380" cy="861060"/>
                    </a:xfrm>
                    <a:prstGeom prst="rect">
                      <a:avLst/>
                    </a:prstGeom>
                  </pic:spPr>
                </pic:pic>
              </a:graphicData>
            </a:graphic>
          </wp:inline>
        </w:drawing>
      </w:r>
    </w:p>
    <w:p>
      <w:pPr>
        <w:pStyle w:val="Normal"/>
        <w:spacing w:lineRule="auto" w:line="276"/>
        <w:jc w:val="center"/>
        <w:rPr>
          <w:rFonts w:ascii="Arial" w:hAnsi="Arial" w:cs="Arial"/>
          <w:b/>
          <w:b/>
        </w:rPr>
      </w:pPr>
      <w:r>
        <w:rPr>
          <w:rFonts w:cs="Arial" w:ascii="Arial" w:hAnsi="Arial"/>
          <w:b/>
        </w:rPr>
        <w:t xml:space="preserve">Obecně závazná vyhláška </w:t>
      </w:r>
    </w:p>
    <w:p>
      <w:pPr>
        <w:pStyle w:val="Normal"/>
        <w:jc w:val="center"/>
        <w:rPr>
          <w:rFonts w:ascii="Arial" w:hAnsi="Arial" w:cs="Arial"/>
          <w:b/>
          <w:b/>
        </w:rPr>
      </w:pPr>
      <w:r>
        <w:rPr>
          <w:rFonts w:cs="Arial" w:ascii="Arial" w:hAnsi="Arial"/>
          <w:b/>
        </w:rPr>
        <w:t>o stanovení obecního systému odpadového hospodářství</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t xml:space="preserve">Zastupitelstvo obce Jívka se na svém zasedání dne 30.8.2023 usneslo vydat na základě § 59 odst. 4 zákona č. 541/2020 Sb., o odpadech (dále jen „zákon o odpadech“), </w:t>
      </w:r>
      <w:r>
        <w:rPr>
          <w:rFonts w:cs="Arial" w:ascii="Arial" w:hAnsi="Arial"/>
          <w:b w:val="false"/>
          <w:bCs w:val="false"/>
          <w:sz w:val="22"/>
          <w:szCs w:val="22"/>
        </w:rPr>
        <w:t xml:space="preserve">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Tato vyhláška stanovuje obecní systém odpadového hospodářství na území obce Jívka.</w:t>
      </w:r>
    </w:p>
    <w:p>
      <w:pPr>
        <w:pStyle w:val="NadpisaobsahLTGliederung1"/>
        <w:numPr>
          <w:ilvl w:val="0"/>
          <w:numId w:val="1"/>
        </w:numPr>
        <w:tabs>
          <w:tab w:val="clear" w:pos="708"/>
          <w:tab w:val="left" w:pos="0" w:leader="none"/>
        </w:tabs>
        <w:spacing w:before="64" w:after="0"/>
        <w:jc w:val="both"/>
        <w:rPr/>
      </w:pPr>
      <w:r>
        <w:rPr>
          <w:rFonts w:cs="Arial" w:ascii="Arial" w:hAnsi="Arial"/>
          <w:sz w:val="22"/>
          <w:szCs w:val="22"/>
        </w:rPr>
        <w:t>Ka</w:t>
      </w:r>
      <w:r>
        <w:rPr>
          <w:rFonts w:ascii="Arial" w:hAnsi="Arial"/>
          <w:sz w:val="22"/>
          <w:szCs w:val="22"/>
        </w:rPr>
        <w:t>ždý je povinen odpad nebo movitou věc, které předává do obecního systému, odkládat na místa určená obcí v souladu s povinnostmi stanovenými pro daný druh, kategorii nebo materiál odpadu nebo movitých věcí zákonem o odpadech a touto vyhláškou.</w:t>
      </w:r>
    </w:p>
    <w:p>
      <w:pPr>
        <w:pStyle w:val="NadpisaobsahLTGliederung1"/>
        <w:numPr>
          <w:ilvl w:val="0"/>
          <w:numId w:val="1"/>
        </w:numPr>
        <w:tabs>
          <w:tab w:val="clear" w:pos="708"/>
          <w:tab w:val="left" w:pos="0" w:leader="none"/>
        </w:tabs>
        <w:spacing w:before="64" w:after="0"/>
        <w:jc w:val="both"/>
        <w:rPr/>
      </w:pPr>
      <w:r>
        <w:rPr>
          <w:rFonts w:cs="Arial" w:ascii="Arial" w:hAnsi="Arial"/>
          <w:sz w:val="22"/>
          <w:szCs w:val="22"/>
        </w:rPr>
        <w:t>V okam</w:t>
      </w:r>
      <w:r>
        <w:rPr>
          <w:rFonts w:ascii="Arial" w:hAnsi="Arial"/>
          <w:sz w:val="22"/>
          <w:szCs w:val="22"/>
        </w:rPr>
        <w:t>žiku, kdy osoba zapojená do obecního systému odloží movitou věc nebo odpad, s výjimkou výrobků s ukončenou životností, na místě obcí k tomuto účelu určeném, stává se obec vlastníkem této movité věci nebo odpadu.</w:t>
      </w:r>
    </w:p>
    <w:p>
      <w:pPr>
        <w:pStyle w:val="NadpisaobsahLTGliederung1"/>
        <w:numPr>
          <w:ilvl w:val="0"/>
          <w:numId w:val="1"/>
        </w:numPr>
        <w:tabs>
          <w:tab w:val="clear" w:pos="708"/>
          <w:tab w:val="left" w:pos="0" w:leader="none"/>
        </w:tabs>
        <w:spacing w:before="64" w:after="0"/>
        <w:jc w:val="both"/>
        <w:rPr/>
      </w:pPr>
      <w:r>
        <w:rPr>
          <w:rFonts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Oddělené soustřeďování komunálního odpadu</w:t>
      </w:r>
    </w:p>
    <w:p>
      <w:pPr>
        <w:pStyle w:val="NadpisaobsahLTGliederung1"/>
        <w:numPr>
          <w:ilvl w:val="0"/>
          <w:numId w:val="3"/>
        </w:numPr>
        <w:tabs>
          <w:tab w:val="clear" w:pos="708"/>
          <w:tab w:val="left" w:pos="567" w:leader="none"/>
        </w:tabs>
        <w:spacing w:before="64" w:after="0"/>
        <w:ind w:left="567" w:hanging="567"/>
        <w:jc w:val="both"/>
        <w:rPr>
          <w:rFonts w:ascii="Arial" w:hAnsi="Arial" w:cs="Arial"/>
          <w:sz w:val="22"/>
          <w:szCs w:val="22"/>
        </w:rPr>
      </w:pPr>
      <w:r>
        <w:rPr>
          <w:rFonts w:cs="Arial" w:ascii="Arial" w:hAnsi="Arial"/>
          <w:sz w:val="22"/>
          <w:szCs w:val="22"/>
        </w:rPr>
        <w:t>Osoby p</w:t>
      </w:r>
      <w:r>
        <w:rPr>
          <w:rFonts w:ascii="Arial" w:hAnsi="Arial"/>
          <w:sz w:val="22"/>
          <w:szCs w:val="22"/>
        </w:rPr>
        <w:t>ředávající komunální odpad na místa určená obcí jsou povinny odděleně soustřeďovat následující složky:</w:t>
      </w:r>
    </w:p>
    <w:p>
      <w:pPr>
        <w:pStyle w:val="NadpisaobsahLTGliederung1"/>
        <w:tabs>
          <w:tab w:val="clear" w:pos="708"/>
          <w:tab w:val="left" w:pos="567" w:leader="none"/>
        </w:tabs>
        <w:spacing w:before="64" w:after="0"/>
        <w:ind w:left="567" w:hanging="0"/>
        <w:jc w:val="both"/>
        <w:rPr>
          <w:rFonts w:ascii="Arial" w:hAnsi="Arial"/>
          <w:sz w:val="22"/>
          <w:szCs w:val="22"/>
        </w:rPr>
      </w:pPr>
      <w:r>
        <w:rPr>
          <w:rFonts w:ascii="Arial" w:hAnsi="Arial"/>
          <w:sz w:val="22"/>
          <w:szCs w:val="22"/>
        </w:rPr>
        <w:t>a) Biologické odpady rostlinného původu,</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b) Papír,</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c) Plasty včetně PET lahví (dále jen „plasty“),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d) Sklo,</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e) Kovy,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f) Nebezpečné odpady,</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t>g) Objemný odpad,</w:t>
      </w:r>
    </w:p>
    <w:p>
      <w:pPr>
        <w:pStyle w:val="NadpisaobsahLTGliederung1"/>
        <w:tabs>
          <w:tab w:val="clear" w:pos="708"/>
          <w:tab w:val="left" w:pos="567" w:leader="none"/>
        </w:tabs>
        <w:spacing w:lineRule="auto" w:line="240" w:before="64" w:after="0"/>
        <w:ind w:left="567" w:hanging="0"/>
        <w:rPr>
          <w:rFonts w:ascii="Arial" w:hAnsi="Arial" w:cs="Arial"/>
          <w:sz w:val="22"/>
          <w:szCs w:val="22"/>
        </w:rPr>
      </w:pPr>
      <w:r>
        <w:rPr>
          <w:rFonts w:ascii="Arial" w:hAnsi="Arial"/>
          <w:sz w:val="22"/>
          <w:szCs w:val="22"/>
        </w:rPr>
        <w:t>h) Jedlé oleje a tuky</w:t>
      </w:r>
      <w:r>
        <w:rPr>
          <w:rFonts w:ascii="Arial-ItalicMT" w:hAnsi="Arial-ItalicMT"/>
          <w:sz w:val="32"/>
        </w:rPr>
        <w:t>,</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t xml:space="preserve">i) Směsný komunální odpad. </w:t>
      </w:r>
    </w:p>
    <w:p>
      <w:pPr>
        <w:pStyle w:val="NadpisaobsahLTGliederung1"/>
        <w:numPr>
          <w:ilvl w:val="0"/>
          <w:numId w:val="3"/>
        </w:numPr>
        <w:tabs>
          <w:tab w:val="clear" w:pos="708"/>
          <w:tab w:val="left" w:pos="567" w:leader="none"/>
        </w:tabs>
        <w:spacing w:before="64" w:after="0"/>
        <w:ind w:left="567" w:hanging="567"/>
        <w:rPr>
          <w:rFonts w:ascii="Arial" w:hAnsi="Arial"/>
          <w:sz w:val="22"/>
          <w:szCs w:val="22"/>
        </w:rPr>
      </w:pPr>
      <w:r>
        <w:rPr>
          <w:rFonts w:cs="Arial" w:ascii="Arial" w:hAnsi="Arial"/>
          <w:sz w:val="22"/>
          <w:szCs w:val="22"/>
        </w:rPr>
        <w:t xml:space="preserve">Směsným komunálním odpadem se rozumí zbylý komunální odpad po stanoveném </w:t>
      </w:r>
      <w:r>
        <w:rPr>
          <w:rFonts w:ascii="Arial" w:hAnsi="Arial"/>
          <w:sz w:val="22"/>
          <w:szCs w:val="22"/>
        </w:rPr>
        <w:t>vytřídění podle odstavce 1 písm. a) až h).</w:t>
      </w:r>
    </w:p>
    <w:p>
      <w:pPr>
        <w:pStyle w:val="NadpisaobsahLTGliederung1"/>
        <w:numPr>
          <w:ilvl w:val="0"/>
          <w:numId w:val="3"/>
        </w:numPr>
        <w:tabs>
          <w:tab w:val="clear" w:pos="708"/>
          <w:tab w:val="left" w:pos="567" w:leader="none"/>
        </w:tabs>
        <w:spacing w:before="64" w:after="0"/>
        <w:ind w:left="567" w:hanging="567"/>
        <w:jc w:val="both"/>
        <w:rPr>
          <w:rFonts w:ascii="Arial" w:hAnsi="Arial"/>
          <w:sz w:val="22"/>
          <w:szCs w:val="22"/>
        </w:rPr>
      </w:pPr>
      <w:r>
        <w:rPr>
          <w:rFonts w:cs="Arial" w:ascii="Arial" w:hAnsi="Arial"/>
          <w:sz w:val="22"/>
          <w:szCs w:val="22"/>
        </w:rPr>
        <w:t xml:space="preserve">Objemný odpad je takový odpad, který vzhledem ke svým rozměrům nemůže být </w:t>
      </w:r>
      <w:r>
        <w:rPr>
          <w:rFonts w:ascii="Arial" w:hAnsi="Arial"/>
          <w:sz w:val="22"/>
          <w:szCs w:val="22"/>
        </w:rPr>
        <w:t>umístěn do sběrných nádob (např. koberce, matrace, nábytek).</w:t>
      </w:r>
    </w:p>
    <w:p>
      <w:pPr>
        <w:pStyle w:val="Slalnk"/>
        <w:spacing w:before="480" w:after="60"/>
        <w:ind w:left="4185" w:firstLine="63"/>
        <w:jc w:val="left"/>
        <w:rPr>
          <w:rFonts w:ascii="Arial" w:hAnsi="Arial" w:cs="Arial"/>
        </w:rPr>
      </w:pPr>
      <w:r>
        <w:rPr>
          <w:rFonts w:cs="Arial" w:ascii="Arial" w:hAnsi="Arial"/>
        </w:rPr>
        <w:t>Čl. 3</w:t>
      </w:r>
    </w:p>
    <w:p>
      <w:pPr>
        <w:pStyle w:val="Normal"/>
        <w:jc w:val="center"/>
        <w:rPr>
          <w:rFonts w:ascii="Arial" w:hAnsi="Arial" w:cs="Arial"/>
          <w:b/>
          <w:b/>
          <w:sz w:val="22"/>
          <w:szCs w:val="22"/>
        </w:rPr>
      </w:pPr>
      <w:r>
        <w:rPr>
          <w:rFonts w:cs="Arial" w:ascii="Arial" w:hAnsi="Arial"/>
          <w:b/>
          <w:sz w:val="22"/>
          <w:szCs w:val="22"/>
        </w:rPr>
        <w:t>Určení míst pro oddělené soustřeďování určených složek komunálního odpadu</w:t>
      </w:r>
    </w:p>
    <w:p>
      <w:pPr>
        <w:pStyle w:val="Normal"/>
        <w:tabs>
          <w:tab w:val="clear" w:pos="708"/>
          <w:tab w:val="left" w:pos="0" w:leader="none"/>
        </w:tabs>
        <w:spacing w:lineRule="atLeast" w:line="200" w:before="64" w:after="0"/>
        <w:jc w:val="center"/>
        <w:rPr>
          <w:rFonts w:ascii="Arial" w:hAnsi="Arial"/>
          <w:sz w:val="22"/>
          <w:szCs w:val="22"/>
        </w:rPr>
      </w:pPr>
      <w:r>
        <w:rPr>
          <w:rFonts w:ascii="Arial" w:hAnsi="Arial"/>
          <w:sz w:val="22"/>
          <w:szCs w:val="22"/>
        </w:rPr>
      </w:r>
    </w:p>
    <w:p>
      <w:pPr>
        <w:pStyle w:val="NadpisaobsahLTGliederung1"/>
        <w:numPr>
          <w:ilvl w:val="0"/>
          <w:numId w:val="4"/>
        </w:numPr>
        <w:tabs>
          <w:tab w:val="clear" w:pos="708"/>
          <w:tab w:val="left" w:pos="0" w:leader="none"/>
        </w:tabs>
        <w:spacing w:before="64" w:after="0"/>
        <w:jc w:val="both"/>
        <w:rPr>
          <w:rFonts w:ascii="Arial" w:hAnsi="Arial"/>
          <w:sz w:val="22"/>
          <w:szCs w:val="22"/>
        </w:rPr>
      </w:pPr>
      <w:r>
        <w:rPr>
          <w:rFonts w:ascii="Arial" w:hAnsi="Arial"/>
          <w:sz w:val="22"/>
          <w:szCs w:val="22"/>
        </w:rPr>
        <w:t>Papír, plasty, sklo, kovy, biologické odpady rostlinného původu, jedlé oleje a tuky</w:t>
      </w:r>
    </w:p>
    <w:p>
      <w:pPr>
        <w:pStyle w:val="NadpisaobsahLTGliederung1"/>
        <w:tabs>
          <w:tab w:val="clear" w:pos="708"/>
          <w:tab w:val="left" w:pos="567" w:leader="none"/>
        </w:tabs>
        <w:spacing w:before="64" w:after="0"/>
        <w:ind w:left="720" w:hanging="0"/>
        <w:jc w:val="both"/>
        <w:rPr>
          <w:rFonts w:ascii="Arial" w:hAnsi="Arial"/>
          <w:sz w:val="22"/>
          <w:szCs w:val="22"/>
        </w:rPr>
      </w:pPr>
      <w:r>
        <w:rPr>
          <w:rFonts w:ascii="Arial" w:hAnsi="Arial"/>
          <w:sz w:val="22"/>
          <w:szCs w:val="22"/>
        </w:rPr>
        <w:t>se soustřeďují do zvláštních sběrných nádob, kterými jsou sběrné nádoby, kontejnery, sběrné plastové pytle s logem svozové společnosti a velkoobjemové kontejnery.</w:t>
      </w:r>
    </w:p>
    <w:p>
      <w:pPr>
        <w:pStyle w:val="NadpisaobsahLTGliederung1"/>
        <w:numPr>
          <w:ilvl w:val="0"/>
          <w:numId w:val="4"/>
        </w:numPr>
        <w:tabs>
          <w:tab w:val="clear" w:pos="708"/>
          <w:tab w:val="left" w:pos="709" w:leader="none"/>
        </w:tabs>
        <w:spacing w:before="64" w:after="0"/>
        <w:jc w:val="both"/>
        <w:rPr>
          <w:rFonts w:ascii="Arial" w:hAnsi="Arial"/>
          <w:sz w:val="22"/>
          <w:szCs w:val="22"/>
        </w:rPr>
      </w:pPr>
      <w:r>
        <w:rPr>
          <w:rFonts w:ascii="Arial" w:hAnsi="Arial"/>
          <w:sz w:val="22"/>
          <w:szCs w:val="22"/>
        </w:rPr>
        <w:t>Zvláštní sběrné nádoby jsou umístěny na stanovištích uvedených na webových stránkách obce</w:t>
      </w:r>
      <w:r>
        <w:rPr>
          <w:rStyle w:val="Ukotvenpoznmkypodarou"/>
          <w:rFonts w:ascii="Arial" w:hAnsi="Arial"/>
          <w:sz w:val="22"/>
          <w:szCs w:val="22"/>
        </w:rPr>
        <w:footnoteReference w:id="2"/>
      </w:r>
      <w:r>
        <w:rPr>
          <w:rFonts w:ascii="Arial" w:hAnsi="Arial"/>
          <w:sz w:val="22"/>
          <w:szCs w:val="22"/>
        </w:rPr>
        <w:t>.</w:t>
      </w:r>
    </w:p>
    <w:p>
      <w:pPr>
        <w:pStyle w:val="NadpisaobsahLTGliederung1"/>
        <w:tabs>
          <w:tab w:val="clear" w:pos="708"/>
          <w:tab w:val="left" w:pos="284" w:leader="none"/>
        </w:tabs>
        <w:spacing w:before="64" w:after="0"/>
        <w:jc w:val="both"/>
        <w:rPr>
          <w:rFonts w:ascii="Arial" w:hAnsi="Arial"/>
          <w:sz w:val="22"/>
          <w:szCs w:val="22"/>
        </w:rPr>
      </w:pPr>
      <w:r>
        <w:rPr>
          <w:rFonts w:ascii="Arial" w:hAnsi="Arial"/>
          <w:sz w:val="22"/>
          <w:szCs w:val="22"/>
        </w:rPr>
        <w:tab/>
        <w:t>  3)</w:t>
        <w:tab/>
        <w:t>Zvláštní sběrné nádoby jsou barevně odlišeny a označeny příslušnými nápisy:</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a) Biologické odpady rostlinného původu: </w:t>
      </w:r>
      <w:r>
        <w:rPr>
          <w:rFonts w:ascii="Arial" w:hAnsi="Arial"/>
          <w:bCs/>
          <w:sz w:val="22"/>
          <w:szCs w:val="22"/>
        </w:rPr>
        <w:t>velkoobjemový kontejner s nápisem BIO</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b) Papír, barva </w:t>
      </w:r>
      <w:r>
        <w:rPr>
          <w:rFonts w:ascii="Arial" w:hAnsi="Arial"/>
          <w:bCs/>
          <w:sz w:val="22"/>
          <w:szCs w:val="22"/>
        </w:rPr>
        <w:t>modrá</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c) Plasty, barva </w:t>
      </w:r>
      <w:r>
        <w:rPr>
          <w:rFonts w:ascii="Arial" w:hAnsi="Arial"/>
          <w:color w:val="0070C0"/>
          <w:sz w:val="22"/>
          <w:szCs w:val="22"/>
        </w:rPr>
        <w:t xml:space="preserve"> </w:t>
      </w:r>
      <w:r>
        <w:rPr>
          <w:rFonts w:ascii="Arial" w:hAnsi="Arial"/>
          <w:bCs/>
          <w:sz w:val="22"/>
          <w:szCs w:val="22"/>
        </w:rPr>
        <w:t>žlutá</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d) Sklo směsné, barva </w:t>
      </w:r>
      <w:r>
        <w:rPr>
          <w:rFonts w:ascii="Arial" w:hAnsi="Arial"/>
          <w:bCs/>
          <w:sz w:val="22"/>
          <w:szCs w:val="22"/>
        </w:rPr>
        <w:t>zelená</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e) Kovy: </w:t>
      </w:r>
      <w:r>
        <w:rPr>
          <w:rFonts w:ascii="Arial" w:hAnsi="Arial"/>
          <w:bCs/>
          <w:sz w:val="22"/>
          <w:szCs w:val="22"/>
        </w:rPr>
        <w:t>velkoobjemový kontejner s nápisem KOVY</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f) Jedlé oleje a tuky</w:t>
      </w:r>
      <w:r>
        <w:rPr>
          <w:rStyle w:val="Ukotvenpoznmkypodarou"/>
          <w:rFonts w:ascii="Arial" w:hAnsi="Arial"/>
          <w:sz w:val="22"/>
          <w:szCs w:val="22"/>
        </w:rPr>
        <w:footnoteReference w:id="3"/>
      </w:r>
      <w:r>
        <w:rPr>
          <w:rFonts w:ascii="Arial" w:hAnsi="Arial"/>
          <w:sz w:val="22"/>
          <w:szCs w:val="22"/>
        </w:rPr>
        <w:t xml:space="preserve">, barva </w:t>
      </w:r>
      <w:r>
        <w:rPr>
          <w:rFonts w:ascii="Arial" w:hAnsi="Arial"/>
          <w:bCs/>
          <w:sz w:val="22"/>
          <w:szCs w:val="22"/>
        </w:rPr>
        <w:t>hnědá</w:t>
      </w:r>
      <w:r>
        <w:rPr>
          <w:rFonts w:ascii="Arial" w:hAnsi="Arial"/>
          <w:sz w:val="22"/>
          <w:szCs w:val="22"/>
        </w:rPr>
        <w:t>.</w:t>
      </w:r>
    </w:p>
    <w:p>
      <w:pPr>
        <w:pStyle w:val="NadpisaobsahLTGliederung1"/>
        <w:tabs>
          <w:tab w:val="clear" w:pos="708"/>
          <w:tab w:val="left" w:pos="709" w:leader="none"/>
        </w:tabs>
        <w:spacing w:before="64" w:after="0"/>
        <w:ind w:left="709" w:hanging="283"/>
        <w:jc w:val="both"/>
        <w:rPr/>
      </w:pPr>
      <w:r>
        <w:rPr>
          <w:rFonts w:ascii="Arial" w:hAnsi="Arial"/>
          <w:sz w:val="22"/>
          <w:szCs w:val="22"/>
        </w:rPr>
        <w:t>4) Do zvláštních sběrných nádob je zakázáno ukládat jiné složky komunálních odpadů, než pro které jsou určeny.</w:t>
      </w:r>
    </w:p>
    <w:p>
      <w:pPr>
        <w:pStyle w:val="NadpisaobsahLTGliederung1"/>
        <w:tabs>
          <w:tab w:val="clear" w:pos="708"/>
          <w:tab w:val="left" w:pos="709" w:leader="none"/>
        </w:tabs>
        <w:spacing w:before="64" w:after="0"/>
        <w:ind w:left="709" w:hanging="283"/>
        <w:jc w:val="both"/>
        <w:rPr>
          <w:rFonts w:ascii="Arial" w:hAnsi="Arial"/>
          <w:sz w:val="22"/>
          <w:szCs w:val="22"/>
        </w:rPr>
      </w:pPr>
      <w:r>
        <w:rPr>
          <w:rFonts w:ascii="Arial" w:hAnsi="Arial"/>
          <w:sz w:val="22"/>
          <w:szCs w:val="22"/>
        </w:rPr>
        <w:t>5) Zvláštní sběrné nádoby je povinnost plnit tak, aby je bylo možno uzavřít a odpad z nich při manipulaci nevypadával. Pokud to umožňuje povaha odpadu, je nutno objem odpadu před jeho odložením do sběrné nádoby minimalizovat.</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4</w:t>
      </w:r>
    </w:p>
    <w:p>
      <w:pPr>
        <w:pStyle w:val="NadpisaobsahLTGliederung1"/>
        <w:tabs>
          <w:tab w:val="clear" w:pos="708"/>
          <w:tab w:val="left" w:pos="0" w:leader="none"/>
        </w:tabs>
        <w:spacing w:before="64" w:after="240"/>
        <w:jc w:val="center"/>
        <w:rPr>
          <w:rFonts w:ascii="Arial" w:hAnsi="Arial"/>
          <w:b/>
          <w:b/>
          <w:sz w:val="22"/>
          <w:szCs w:val="22"/>
        </w:rPr>
      </w:pPr>
      <w:r>
        <w:rPr>
          <w:rFonts w:ascii="Arial" w:hAnsi="Arial"/>
          <w:b/>
          <w:sz w:val="22"/>
          <w:szCs w:val="22"/>
        </w:rPr>
        <w:t>Svoz nebezpečných složek komunálního odpadu a objemného odpadu</w:t>
      </w:r>
    </w:p>
    <w:p>
      <w:pPr>
        <w:pStyle w:val="NadpisaobsahLTGliederung1"/>
        <w:numPr>
          <w:ilvl w:val="0"/>
          <w:numId w:val="5"/>
        </w:numPr>
        <w:tabs>
          <w:tab w:val="clear" w:pos="708"/>
          <w:tab w:val="left" w:pos="567" w:leader="none"/>
        </w:tabs>
        <w:spacing w:before="64" w:after="240"/>
        <w:jc w:val="both"/>
        <w:rPr>
          <w:rFonts w:ascii="Arial" w:hAnsi="Arial"/>
          <w:sz w:val="22"/>
          <w:szCs w:val="22"/>
        </w:rPr>
      </w:pPr>
      <w:r>
        <w:rPr>
          <w:rFonts w:ascii="Arial" w:hAnsi="Arial"/>
          <w:sz w:val="22"/>
          <w:szCs w:val="22"/>
        </w:rPr>
        <w:t>Svoz nebezpečných složek komunálního odpadu a objemného odpadu  je zajišťován minimálně dvakrát ročně jejich odebíráním na předem vyhlášených přechodných stanovištích přímo do zvláštních sběrných nádob k tomuto sběru určených. Informace o svozu jsou zveřejňovány</w:t>
      </w:r>
      <w:r>
        <w:rPr>
          <w:rFonts w:ascii="Arial" w:hAnsi="Arial"/>
          <w:color w:val="0070C0"/>
          <w:sz w:val="22"/>
          <w:szCs w:val="22"/>
        </w:rPr>
        <w:t xml:space="preserve"> </w:t>
      </w:r>
      <w:r>
        <w:rPr>
          <w:rFonts w:ascii="Arial" w:hAnsi="Arial"/>
          <w:sz w:val="22"/>
          <w:szCs w:val="22"/>
        </w:rPr>
        <w:t>na úřední desce obecního úřadu, výlepových plochách, v aplikaci Hlášení rozhlasu, v místním rozhlase a na  facebookovém účtu OÚ Jívka.</w:t>
      </w:r>
    </w:p>
    <w:p>
      <w:pPr>
        <w:pStyle w:val="NadpisaobsahLTGliederung1"/>
        <w:numPr>
          <w:ilvl w:val="0"/>
          <w:numId w:val="5"/>
        </w:numPr>
        <w:tabs>
          <w:tab w:val="clear" w:pos="708"/>
          <w:tab w:val="left" w:pos="567" w:leader="none"/>
        </w:tabs>
        <w:spacing w:before="64" w:after="0"/>
        <w:jc w:val="both"/>
        <w:rPr>
          <w:rFonts w:ascii="Arial" w:hAnsi="Arial"/>
          <w:sz w:val="22"/>
          <w:szCs w:val="22"/>
        </w:rPr>
      </w:pPr>
      <w:r>
        <w:rPr>
          <w:rFonts w:ascii="Arial" w:hAnsi="Arial"/>
          <w:sz w:val="22"/>
          <w:szCs w:val="22"/>
        </w:rPr>
        <w:t>Soustřeďování nebezpečných složek komunálního odpadu podléhá požadavkům</w:t>
      </w:r>
    </w:p>
    <w:p>
      <w:pPr>
        <w:pStyle w:val="NadpisaobsahLTGliederung1"/>
        <w:tabs>
          <w:tab w:val="clear" w:pos="708"/>
          <w:tab w:val="left" w:pos="709" w:leader="none"/>
        </w:tabs>
        <w:spacing w:before="64" w:after="0"/>
        <w:ind w:left="709" w:hanging="142"/>
        <w:jc w:val="both"/>
        <w:rPr>
          <w:rFonts w:ascii="Arial" w:hAnsi="Arial"/>
          <w:sz w:val="22"/>
          <w:szCs w:val="22"/>
        </w:rPr>
      </w:pPr>
      <w:r>
        <w:rPr>
          <w:rFonts w:ascii="Arial" w:hAnsi="Arial"/>
          <w:sz w:val="22"/>
          <w:szCs w:val="22"/>
        </w:rPr>
        <w:t>stanoveným v čl. 3 odst. 4 a 5.</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5</w:t>
      </w:r>
    </w:p>
    <w:p>
      <w:pPr>
        <w:pStyle w:val="NadpisaobsahLTGliederung1"/>
        <w:tabs>
          <w:tab w:val="clear" w:pos="708"/>
          <w:tab w:val="left" w:pos="0" w:leader="none"/>
        </w:tabs>
        <w:spacing w:before="64" w:after="0"/>
        <w:jc w:val="center"/>
        <w:rPr/>
      </w:pPr>
      <w:r>
        <w:rPr>
          <w:rFonts w:ascii="Arial" w:hAnsi="Arial"/>
          <w:b/>
          <w:sz w:val="22"/>
          <w:szCs w:val="22"/>
        </w:rPr>
        <w:t>Soustřeďování směsného komunálního odpadu</w:t>
      </w:r>
    </w:p>
    <w:p>
      <w:pPr>
        <w:pStyle w:val="NadpisaobsahLTGliederung1"/>
        <w:tabs>
          <w:tab w:val="clear" w:pos="708"/>
          <w:tab w:val="left" w:pos="567" w:leader="none"/>
        </w:tabs>
        <w:spacing w:before="64" w:after="0"/>
        <w:ind w:left="567" w:hanging="283"/>
        <w:rPr>
          <w:rFonts w:ascii="Arial" w:hAnsi="Arial"/>
          <w:sz w:val="22"/>
          <w:szCs w:val="22"/>
        </w:rPr>
      </w:pPr>
      <w:r>
        <w:rPr>
          <w:rFonts w:ascii="Arial" w:hAnsi="Arial"/>
          <w:sz w:val="22"/>
          <w:szCs w:val="22"/>
        </w:rPr>
        <w:t>1) Směsný komunální odpad se odkládá do sběrných nádob. Pro účely této vyhlášky se</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 xml:space="preserve">sběrnými nádobami rozumějí: </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a) popelnice a kontejnery,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b) sběrné plastové pytle  s logem svozové společnosti,</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c) velkoobjemové kontejnery v části obce Jívka a Studnice u Jívky,</w:t>
      </w:r>
    </w:p>
    <w:p>
      <w:pPr>
        <w:pStyle w:val="NadpisaobsahLTGliederung1"/>
        <w:tabs>
          <w:tab w:val="clear" w:pos="708"/>
          <w:tab w:val="left" w:pos="851" w:leader="none"/>
        </w:tabs>
        <w:spacing w:before="64" w:after="0"/>
        <w:ind w:left="851" w:hanging="284"/>
        <w:rPr>
          <w:rFonts w:ascii="Arial" w:hAnsi="Arial"/>
          <w:sz w:val="22"/>
          <w:szCs w:val="22"/>
        </w:rPr>
      </w:pPr>
      <w:r>
        <w:rPr>
          <w:rFonts w:ascii="Arial" w:hAnsi="Arial"/>
          <w:sz w:val="22"/>
          <w:szCs w:val="22"/>
        </w:rPr>
        <w:t>d) odpadkové koše, které jsou umístěny na veřejných prostranstvích v obci, sloužící pro odkládání drobného směsného komunálního odpadu.</w:t>
      </w:r>
    </w:p>
    <w:p>
      <w:pPr>
        <w:pStyle w:val="NadpisaobsahLTGliederung1"/>
        <w:spacing w:before="64" w:after="0"/>
        <w:ind w:left="284" w:hanging="0"/>
        <w:rPr>
          <w:rFonts w:ascii="Arial" w:hAnsi="Arial"/>
          <w:sz w:val="22"/>
          <w:szCs w:val="22"/>
        </w:rPr>
      </w:pPr>
      <w:r>
        <w:rPr>
          <w:rFonts w:ascii="Arial" w:hAnsi="Arial"/>
          <w:sz w:val="22"/>
          <w:szCs w:val="22"/>
        </w:rPr>
        <w:t>2) Soustřeďování směsného komunálního odpadu podléhá požadavkům stanoveným</w:t>
      </w:r>
    </w:p>
    <w:p>
      <w:pPr>
        <w:pStyle w:val="NadpisaobsahLTGliederung1"/>
        <w:tabs>
          <w:tab w:val="clear" w:pos="708"/>
          <w:tab w:val="left" w:pos="0" w:leader="none"/>
        </w:tabs>
        <w:spacing w:before="64" w:after="0"/>
        <w:ind w:firstLine="284"/>
        <w:rPr>
          <w:rFonts w:ascii="Arial" w:hAnsi="Arial"/>
          <w:sz w:val="22"/>
          <w:szCs w:val="22"/>
        </w:rPr>
      </w:pPr>
      <w:r>
        <w:rPr>
          <w:rFonts w:ascii="Arial" w:hAnsi="Arial"/>
          <w:sz w:val="22"/>
          <w:szCs w:val="22"/>
        </w:rPr>
        <w:t>v čl. 3 odst. 4 a 5. Stanoviště sběrných pytlů je vedle sběrných nádob.</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6</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Nakládání s komunálním odpadem vznikajícím na území obce při činnosti právnických a podnikajících fyzických osob</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Právnické a podnikající fyzické osoby zapojené do obecního systému na základě smlouvy s obcí komunální odpad dle čl. 2 odst. 1 písm. b), c) d) - papír, plasty, sklo-</w:t>
      </w:r>
      <w:bookmarkStart w:id="0" w:name="_GoBack"/>
      <w:bookmarkEnd w:id="0"/>
      <w:r>
        <w:rPr>
          <w:rFonts w:cs="Arial" w:ascii="Arial" w:hAnsi="Arial"/>
          <w:sz w:val="22"/>
          <w:szCs w:val="22"/>
        </w:rPr>
        <w:t xml:space="preserve"> předávají do nádob a na místech dle čl. 3 odst. 2 a 3 této vyhlášky.</w:t>
      </w:r>
    </w:p>
    <w:p>
      <w:pPr>
        <w:pStyle w:val="Normal"/>
        <w:ind w:left="284" w:hanging="0"/>
        <w:jc w:val="both"/>
        <w:rPr>
          <w:rFonts w:ascii="Arial" w:hAnsi="Arial" w:cs="Arial"/>
          <w:sz w:val="22"/>
          <w:szCs w:val="22"/>
        </w:rPr>
      </w:pPr>
      <w:r>
        <w:rPr>
          <w:rFonts w:cs="Arial" w:ascii="Arial" w:hAnsi="Arial"/>
          <w:sz w:val="22"/>
          <w:szCs w:val="22"/>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Výše úhrady za zapojení do obecního systému se stanoví dle ceníku zveřejněného na webových stránkách obce Jívka.</w:t>
      </w:r>
    </w:p>
    <w:p>
      <w:pPr>
        <w:pStyle w:val="ListParagraph"/>
        <w:rPr>
          <w:rFonts w:ascii="Arial" w:hAnsi="Arial" w:cs="Arial"/>
          <w:color w:val="00B0F0"/>
        </w:rPr>
      </w:pPr>
      <w:r>
        <w:rPr>
          <w:rFonts w:cs="Arial" w:ascii="Arial" w:hAnsi="Arial"/>
          <w:color w:val="00B0F0"/>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 xml:space="preserve">Úhrada se vybírá jednorázově v hotovosti nebo převodem na účet obce Jívka (č. účtu: </w:t>
      </w:r>
      <w:r>
        <w:rPr>
          <w:rFonts w:ascii="Arial" w:hAnsi="Arial"/>
          <w:color w:val="000000"/>
          <w:sz w:val="22"/>
          <w:szCs w:val="22"/>
        </w:rPr>
        <w:t>č.1303684379/0800.</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rFonts w:ascii="Arial" w:hAnsi="Arial"/>
          <w:sz w:val="22"/>
          <w:szCs w:val="22"/>
        </w:rPr>
      </w:pPr>
      <w:r>
        <w:rPr>
          <w:rFonts w:ascii="Arial" w:hAnsi="Arial"/>
          <w:b/>
          <w:sz w:val="22"/>
          <w:szCs w:val="22"/>
        </w:rPr>
        <w:t>Čl. 7</w:t>
      </w:r>
    </w:p>
    <w:p>
      <w:pPr>
        <w:pStyle w:val="NadpisaobsahLTGliederung1"/>
        <w:tabs>
          <w:tab w:val="clear" w:pos="708"/>
          <w:tab w:val="left" w:pos="0" w:leader="none"/>
        </w:tabs>
        <w:spacing w:before="64" w:after="0"/>
        <w:jc w:val="center"/>
        <w:rPr>
          <w:rFonts w:ascii="Arial" w:hAnsi="Arial"/>
          <w:sz w:val="22"/>
          <w:szCs w:val="22"/>
        </w:rPr>
      </w:pPr>
      <w:r>
        <w:rPr>
          <w:rFonts w:ascii="Arial" w:hAnsi="Arial"/>
          <w:b/>
          <w:sz w:val="22"/>
          <w:szCs w:val="22"/>
        </w:rPr>
        <w:t xml:space="preserve"> </w:t>
      </w:r>
      <w:r>
        <w:rPr>
          <w:rFonts w:ascii="Arial" w:hAnsi="Arial"/>
          <w:b/>
          <w:sz w:val="22"/>
          <w:szCs w:val="22"/>
        </w:rPr>
        <w:t xml:space="preserve">Zrušovací ustanovení </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both"/>
        <w:rPr>
          <w:rFonts w:ascii="Arial" w:hAnsi="Arial"/>
          <w:sz w:val="22"/>
          <w:szCs w:val="22"/>
        </w:rPr>
      </w:pPr>
      <w:r>
        <w:rPr>
          <w:rFonts w:ascii="Arial" w:hAnsi="Arial"/>
          <w:sz w:val="22"/>
          <w:szCs w:val="22"/>
        </w:rPr>
        <w:t>Ruší se obecně závazná vyhláška č. 1/2003, o stanovení systému shromažďování, sběru, přepravy, třídění, využívání a odstraňování komunálních odpadů na území obce Jívka, včetně systému nakládání se stavebním odpadem, ze dne 27. 11. 2003.</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Čl. 8</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Účinnost</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r>
    </w:p>
    <w:p>
      <w:pPr>
        <w:pStyle w:val="NadpisaobsahLTGliederung1"/>
        <w:tabs>
          <w:tab w:val="clear" w:pos="708"/>
          <w:tab w:val="left" w:pos="0" w:leader="none"/>
        </w:tabs>
        <w:spacing w:before="64" w:after="0"/>
        <w:jc w:val="both"/>
        <w:rPr>
          <w:rFonts w:ascii="Arial" w:hAnsi="Arial"/>
          <w:sz w:val="22"/>
          <w:szCs w:val="22"/>
        </w:rPr>
      </w:pPr>
      <w:r>
        <w:rPr>
          <w:rFonts w:ascii="Arial" w:hAnsi="Arial"/>
          <w:sz w:val="22"/>
          <w:szCs w:val="22"/>
        </w:rPr>
        <w:t>Tato vyhláška nabývá účinnosti počátkem patnáctého dne po dni jejího vyhlášení.</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Mgr. Pavel Matějka, DiS, v. r.</w:t>
        <w:tab/>
        <w:t>Jiří Gangur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
    </w:p>
    <w:sectPr>
      <w:footerReference w:type="default" r:id="rId3"/>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 w:name="Cambria">
    <w:charset w:val="ee"/>
    <w:family w:val="roman"/>
    <w:pitch w:val="variable"/>
  </w:font>
  <w:font w:name="Tahoma">
    <w:charset w:val="ee"/>
    <w:family w:val="roman"/>
    <w:pitch w:val="variable"/>
  </w:font>
  <w:font w:name="Calibri">
    <w:charset w:val="ee"/>
    <w:family w:val="roman"/>
    <w:pitch w:val="variable"/>
  </w:font>
  <w:font w:name="Lucida Sans">
    <w:charset w:val="ee"/>
    <w:family w:val="roman"/>
    <w:pitch w:val="variable"/>
  </w:font>
  <w:font w:name="Noto Sans">
    <w:charset w:val="ee"/>
    <w:family w:val="roman"/>
    <w:pitch w:val="variable"/>
  </w:font>
  <w:font w:name="Arial-ItalicMT">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1</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rPr>
      </w:pPr>
      <w:r>
        <w:rPr>
          <w:rStyle w:val="Znakypropoznmkupodarou"/>
        </w:rPr>
        <w:footnoteRef/>
      </w:r>
      <w:r>
        <w:rPr>
          <w:rFonts w:cs="Arial" w:ascii="Arial" w:hAnsi="Arial"/>
        </w:rPr>
        <w:t xml:space="preserve"> </w:t>
      </w:r>
      <w:r>
        <w:rPr>
          <w:rFonts w:cs="Arial" w:ascii="Arial" w:hAnsi="Arial"/>
        </w:rPr>
        <w:t>www.jivka.cz</w:t>
      </w:r>
    </w:p>
  </w:footnote>
  <w:footnote w:id="3">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Do sběrné nádoby se odkládají v uzavřené plastové láhvi o maximálním objemu 2 litry.</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09"/>
  <w:defaultTabStop w:val="708"/>
  <w:autoHyphenation w:val="true"/>
  <w:footnotePr>
    <w:numFmt w:val="decimal"/>
    <w:footnote w:id="0"/>
    <w:footnote w:id="1"/>
  </w:footnotePr>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Ukotvenpoznmkypodarou" w:customStyle="1">
    <w:name w:val="Ukotvení poznámky pod čarou"/>
    <w:rPr>
      <w:vertAlign w:val="superscript"/>
    </w:rPr>
  </w:style>
  <w:style w:type="character" w:styleId="FootnoteCharacters">
    <w:name w:val="Footnote Characters"/>
    <w:basedOn w:val="DefaultParagraphFont"/>
    <w:qFormat/>
    <w:rsid w:val="00a25ce4"/>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c119a6"/>
    <w:rPr>
      <w:sz w:val="16"/>
      <w:szCs w:val="16"/>
    </w:rPr>
  </w:style>
  <w:style w:type="character" w:styleId="TextkomenteChar" w:customStyle="1">
    <w:name w:val="Text komentáře Char"/>
    <w:basedOn w:val="DefaultParagraphFont"/>
    <w:link w:val="Annotationtext"/>
    <w:qFormat/>
    <w:rsid w:val="00c119a6"/>
    <w:rPr/>
  </w:style>
  <w:style w:type="character" w:styleId="PedmtkomenteChar" w:customStyle="1">
    <w:name w:val="Předmět komentáře Char"/>
    <w:link w:val="Annotationsubject"/>
    <w:qFormat/>
    <w:rsid w:val="00c119a6"/>
    <w:rPr>
      <w:b/>
      <w:bCs/>
    </w:rPr>
  </w:style>
  <w:style w:type="character" w:styleId="TextbublinyChar" w:customStyle="1">
    <w:name w:val="Text bubliny Char"/>
    <w:link w:val="BalloonText"/>
    <w:qFormat/>
    <w:rsid w:val="00c119a6"/>
    <w:rPr>
      <w:rFonts w:ascii="Segoe UI" w:hAnsi="Segoe UI" w:cs="Segoe UI"/>
      <w:sz w:val="18"/>
      <w:szCs w:val="18"/>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character" w:styleId="Symbolyproslovn" w:customStyle="1">
    <w:name w:val="Symboly pro číslování"/>
    <w:qFormat/>
    <w:rPr/>
  </w:style>
  <w:style w:type="character" w:styleId="NzevChar" w:customStyle="1">
    <w:name w:val="Název Char"/>
    <w:basedOn w:val="DefaultParagraphFont"/>
    <w:qFormat/>
    <w:rsid w:val="00a25ce4"/>
    <w:rPr>
      <w:rFonts w:ascii="Arial" w:hAnsi="Arial" w:cs="Arial"/>
      <w:b/>
      <w:bCs/>
      <w:kern w:val="2"/>
      <w:sz w:val="32"/>
      <w:szCs w:val="32"/>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link w:val="ZkladntextodsazenChar"/>
    <w:rsid w:val="00131160"/>
    <w:pPr>
      <w:ind w:left="708" w:firstLine="357"/>
      <w:jc w:val="both"/>
    </w:pPr>
    <w:rPr/>
  </w:style>
  <w:style w:type="paragraph" w:styleId="Zhlavazpat" w:customStyle="1">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link w:val="NzevChar"/>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overflowPunct w:val="tru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c119a6"/>
    <w:pPr/>
    <w:rPr>
      <w:sz w:val="20"/>
      <w:szCs w:val="20"/>
    </w:rPr>
  </w:style>
  <w:style w:type="paragraph" w:styleId="Annotationsubject">
    <w:name w:val="annotation subject"/>
    <w:basedOn w:val="Annotationtext"/>
    <w:next w:val="Annotationtext"/>
    <w:link w:val="PedmtkomenteChar"/>
    <w:qFormat/>
    <w:rsid w:val="00c119a6"/>
    <w:pPr/>
    <w:rPr>
      <w:b/>
      <w:bCs/>
    </w:rPr>
  </w:style>
  <w:style w:type="paragraph" w:styleId="BalloonText">
    <w:name w:val="Balloon Text"/>
    <w:basedOn w:val="Normal"/>
    <w:link w:val="TextbublinyChar"/>
    <w:qFormat/>
    <w:pPr/>
    <w:rPr>
      <w:rFonts w:ascii="Tahoma" w:hAnsi="Tahoma" w:cs="Tahoma"/>
      <w:sz w:val="16"/>
      <w:szCs w:val="16"/>
    </w:rPr>
  </w:style>
  <w:style w:type="paragraph" w:styleId="ListParagraph">
    <w:name w:val="List Paragraph"/>
    <w:basedOn w:val="Normal"/>
    <w:uiPriority w:val="34"/>
    <w:qFormat/>
    <w:rsid w:val="0038283d"/>
    <w:pPr>
      <w:ind w:left="720" w:hanging="0"/>
    </w:pPr>
    <w:rPr>
      <w:rFonts w:ascii="Calibri" w:hAnsi="Calibri" w:eastAsia="Calibri" w:cs="Calibri"/>
      <w:sz w:val="22"/>
      <w:szCs w:val="22"/>
      <w:lang w:eastAsia="en-US"/>
    </w:rPr>
  </w:style>
  <w:style w:type="paragraph" w:styleId="Revision">
    <w:name w:val="Revision"/>
    <w:uiPriority w:val="99"/>
    <w:semiHidden/>
    <w:qFormat/>
    <w:rsid w:val="00746ae3"/>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Vchozstylkresby" w:customStyle="1">
    <w:name w:val="Výchozí styl kresby"/>
    <w:qFormat/>
    <w:pPr>
      <w:widowControl/>
      <w:suppressAutoHyphens w:val="true"/>
      <w:bidi w:val="0"/>
      <w:spacing w:lineRule="atLeast" w:line="200" w:before="0" w:after="0"/>
      <w:jc w:val="left"/>
    </w:pPr>
    <w:rPr>
      <w:rFonts w:ascii="Lucida Sans" w:hAnsi="Lucida Sans" w:eastAsia="Tahoma" w:cs="Liberation Sans"/>
      <w:color w:val="auto"/>
      <w:kern w:val="2"/>
      <w:sz w:val="36"/>
      <w:szCs w:val="24"/>
      <w:lang w:val="cs-CZ" w:eastAsia="cs-CZ" w:bidi="ar-SA"/>
    </w:rPr>
  </w:style>
  <w:style w:type="paragraph" w:styleId="Objektbezvpln" w:customStyle="1">
    <w:name w:val="Objekt bez výplně"/>
    <w:basedOn w:val="Vchozstylkresby"/>
    <w:qFormat/>
    <w:pPr/>
    <w:rPr/>
  </w:style>
  <w:style w:type="paragraph" w:styleId="Objektbezvplnaobrysu" w:customStyle="1">
    <w:name w:val="Objekt bez výplně a obrysu"/>
    <w:basedOn w:val="Vchozstylkresby"/>
    <w:qFormat/>
    <w:pPr/>
    <w:rPr/>
  </w:style>
  <w:style w:type="paragraph" w:styleId="A4" w:customStyle="1">
    <w:name w:val="A4"/>
    <w:basedOn w:val="Text"/>
    <w:qFormat/>
    <w:pPr/>
    <w:rPr>
      <w:rFonts w:ascii="Noto Sans" w:hAnsi="Noto Sans"/>
      <w:sz w:val="36"/>
    </w:rPr>
  </w:style>
  <w:style w:type="paragraph" w:styleId="Text" w:customStyle="1">
    <w:name w:val="Text"/>
    <w:basedOn w:val="Caption"/>
    <w:qFormat/>
    <w:pPr/>
    <w:rPr/>
  </w:style>
  <w:style w:type="paragraph" w:styleId="TitulekA4" w:customStyle="1">
    <w:name w:val="Titulek A4"/>
    <w:basedOn w:val="A4"/>
    <w:qFormat/>
    <w:pPr/>
    <w:rPr>
      <w:sz w:val="87"/>
    </w:rPr>
  </w:style>
  <w:style w:type="paragraph" w:styleId="NadpisA4" w:customStyle="1">
    <w:name w:val="Nadpis A4"/>
    <w:basedOn w:val="A4"/>
    <w:qFormat/>
    <w:pPr/>
    <w:rPr>
      <w:sz w:val="48"/>
    </w:rPr>
  </w:style>
  <w:style w:type="paragraph" w:styleId="TextA4" w:customStyle="1">
    <w:name w:val="Text A4"/>
    <w:basedOn w:val="A4"/>
    <w:qFormat/>
    <w:pPr/>
    <w:rPr/>
  </w:style>
  <w:style w:type="paragraph" w:styleId="A0" w:customStyle="1">
    <w:name w:val="A0"/>
    <w:basedOn w:val="Text"/>
    <w:qFormat/>
    <w:pPr/>
    <w:rPr>
      <w:rFonts w:ascii="Noto Sans" w:hAnsi="Noto Sans"/>
      <w:sz w:val="95"/>
    </w:rPr>
  </w:style>
  <w:style w:type="paragraph" w:styleId="TitulekA0" w:customStyle="1">
    <w:name w:val="Titulek A0"/>
    <w:basedOn w:val="A0"/>
    <w:qFormat/>
    <w:pPr/>
    <w:rPr>
      <w:sz w:val="191"/>
    </w:rPr>
  </w:style>
  <w:style w:type="paragraph" w:styleId="NadpisA0" w:customStyle="1">
    <w:name w:val="Nadpis A0"/>
    <w:basedOn w:val="A0"/>
    <w:qFormat/>
    <w:pPr/>
    <w:rPr>
      <w:sz w:val="143"/>
    </w:rPr>
  </w:style>
  <w:style w:type="paragraph" w:styleId="TextA0" w:customStyle="1">
    <w:name w:val="Text A0"/>
    <w:basedOn w:val="A0"/>
    <w:qFormat/>
    <w:pPr/>
    <w:rPr/>
  </w:style>
  <w:style w:type="paragraph" w:styleId="Tvary" w:customStyle="1">
    <w:name w:val="Tvary"/>
    <w:basedOn w:val="Obrzek"/>
    <w:qFormat/>
    <w:pPr/>
    <w:rPr>
      <w:rFonts w:ascii="Liberation Sans" w:hAnsi="Liberation Sans"/>
      <w:b/>
      <w:sz w:val="28"/>
    </w:rPr>
  </w:style>
  <w:style w:type="paragraph" w:styleId="Obrzek" w:customStyle="1">
    <w:name w:val="Obrázek"/>
    <w:basedOn w:val="Caption"/>
    <w:qFormat/>
    <w:pPr/>
    <w:rPr/>
  </w:style>
  <w:style w:type="paragraph" w:styleId="Svpln" w:customStyle="1">
    <w:name w:val="S výplní"/>
    <w:basedOn w:val="Tvary"/>
    <w:qFormat/>
    <w:pPr/>
    <w:rPr/>
  </w:style>
  <w:style w:type="paragraph" w:styleId="Modrvpl" w:customStyle="1">
    <w:name w:val="Modrá výplň"/>
    <w:basedOn w:val="Svpln"/>
    <w:qFormat/>
    <w:pPr/>
    <w:rPr>
      <w:color w:val="FFFFFF"/>
    </w:rPr>
  </w:style>
  <w:style w:type="paragraph" w:styleId="Zelenvpl" w:customStyle="1">
    <w:name w:val="Zelená výplň"/>
    <w:basedOn w:val="Svpln"/>
    <w:qFormat/>
    <w:pPr/>
    <w:rPr>
      <w:color w:val="FFFFFF"/>
    </w:rPr>
  </w:style>
  <w:style w:type="paragraph" w:styleId="Ervenvpl" w:customStyle="1">
    <w:name w:val="Červená výplň"/>
    <w:basedOn w:val="Svpln"/>
    <w:qFormat/>
    <w:pPr/>
    <w:rPr>
      <w:color w:val="FFFFFF"/>
    </w:rPr>
  </w:style>
  <w:style w:type="paragraph" w:styleId="Lutvpl" w:customStyle="1">
    <w:name w:val="Žlutá výplň"/>
    <w:basedOn w:val="Svpln"/>
    <w:qFormat/>
    <w:pPr/>
    <w:rPr>
      <w:color w:val="FFFFFF"/>
    </w:rPr>
  </w:style>
  <w:style w:type="paragraph" w:styleId="Sobrysem" w:customStyle="1">
    <w:name w:val="S obrysem"/>
    <w:basedOn w:val="Tvary"/>
    <w:qFormat/>
    <w:pPr/>
    <w:rPr/>
  </w:style>
  <w:style w:type="paragraph" w:styleId="Modrobrys" w:customStyle="1">
    <w:name w:val="Modrý obrys"/>
    <w:basedOn w:val="Sobrysem"/>
    <w:qFormat/>
    <w:pPr/>
    <w:rPr>
      <w:color w:val="355269"/>
    </w:rPr>
  </w:style>
  <w:style w:type="paragraph" w:styleId="Zelenobrys" w:customStyle="1">
    <w:name w:val="Zelený obrys"/>
    <w:basedOn w:val="Sobrysem"/>
    <w:qFormat/>
    <w:pPr/>
    <w:rPr>
      <w:color w:val="127622"/>
    </w:rPr>
  </w:style>
  <w:style w:type="paragraph" w:styleId="Ervenobrys" w:customStyle="1">
    <w:name w:val="Červený obrys"/>
    <w:basedOn w:val="Sobrysem"/>
    <w:qFormat/>
    <w:pPr/>
    <w:rPr>
      <w:color w:val="C9211E"/>
    </w:rPr>
  </w:style>
  <w:style w:type="paragraph" w:styleId="Lutobrys" w:customStyle="1">
    <w:name w:val="Žlutý obrys"/>
    <w:basedOn w:val="Sobrysem"/>
    <w:qFormat/>
    <w:pPr/>
    <w:rPr>
      <w:color w:val="B47804"/>
    </w:rPr>
  </w:style>
  <w:style w:type="paragraph" w:styleId="Ry" w:customStyle="1">
    <w:name w:val="Čáry"/>
    <w:basedOn w:val="Obrzek"/>
    <w:qFormat/>
    <w:pPr/>
    <w:rPr>
      <w:rFonts w:ascii="Liberation Sans" w:hAnsi="Liberation Sans"/>
      <w:sz w:val="36"/>
    </w:rPr>
  </w:style>
  <w:style w:type="paragraph" w:styleId="Raseipkou" w:customStyle="1">
    <w:name w:val="Čára se šipkou"/>
    <w:basedOn w:val="Ry"/>
    <w:qFormat/>
    <w:pPr/>
    <w:rPr/>
  </w:style>
  <w:style w:type="paragraph" w:styleId="Rkovanra" w:customStyle="1">
    <w:name w:val="Čárkovaná čára"/>
    <w:basedOn w:val="Ry"/>
    <w:qFormat/>
    <w:pPr/>
    <w:rPr/>
  </w:style>
  <w:style w:type="paragraph" w:styleId="VodnsnmekLTGliederung1" w:customStyle="1">
    <w:name w:val="Úvodní snímek~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VodnsnmekLTGliederung2" w:customStyle="1">
    <w:name w:val="Úvodní snímek~LT~Gliederung 2"/>
    <w:basedOn w:val="VodnsnmekLTGliederung1"/>
    <w:qFormat/>
    <w:pPr>
      <w:spacing w:before="227" w:after="0"/>
    </w:pPr>
    <w:rPr>
      <w:sz w:val="48"/>
    </w:rPr>
  </w:style>
  <w:style w:type="paragraph" w:styleId="VodnsnmekLTGliederung3" w:customStyle="1">
    <w:name w:val="Úvodní snímek~LT~Gliederung 3"/>
    <w:basedOn w:val="VodnsnmekLTGliederung2"/>
    <w:qFormat/>
    <w:pPr>
      <w:spacing w:before="170" w:after="0"/>
    </w:pPr>
    <w:rPr>
      <w:sz w:val="40"/>
    </w:rPr>
  </w:style>
  <w:style w:type="paragraph" w:styleId="VodnsnmekLTGliederung4" w:customStyle="1">
    <w:name w:val="Úvodní snímek~LT~Gliederung 4"/>
    <w:basedOn w:val="VodnsnmekLTGliederung3"/>
    <w:qFormat/>
    <w:pPr>
      <w:spacing w:before="113" w:after="0"/>
    </w:pPr>
    <w:rPr/>
  </w:style>
  <w:style w:type="paragraph" w:styleId="VodnsnmekLTGliederung5" w:customStyle="1">
    <w:name w:val="Úvodní snímek~LT~Gliederung 5"/>
    <w:basedOn w:val="VodnsnmekLTGliederung4"/>
    <w:qFormat/>
    <w:pPr>
      <w:spacing w:before="57" w:after="0"/>
    </w:pPr>
    <w:rPr/>
  </w:style>
  <w:style w:type="paragraph" w:styleId="VodnsnmekLTGliederung6" w:customStyle="1">
    <w:name w:val="Úvodní snímek~LT~Gliederung 6"/>
    <w:basedOn w:val="VodnsnmekLTGliederung5"/>
    <w:qFormat/>
    <w:pPr/>
    <w:rPr/>
  </w:style>
  <w:style w:type="paragraph" w:styleId="VodnsnmekLTGliederung7" w:customStyle="1">
    <w:name w:val="Úvodní snímek~LT~Gliederung 7"/>
    <w:basedOn w:val="VodnsnmekLTGliederung6"/>
    <w:qFormat/>
    <w:pPr/>
    <w:rPr/>
  </w:style>
  <w:style w:type="paragraph" w:styleId="VodnsnmekLTGliederung8" w:customStyle="1">
    <w:name w:val="Úvodní snímek~LT~Gliederung 8"/>
    <w:basedOn w:val="VodnsnmekLTGliederung7"/>
    <w:qFormat/>
    <w:pPr/>
    <w:rPr/>
  </w:style>
  <w:style w:type="paragraph" w:styleId="VodnsnmekLTGliederung9" w:customStyle="1">
    <w:name w:val="Úvodní snímek~LT~Gliederung 9"/>
    <w:basedOn w:val="VodnsnmekLTGliederung8"/>
    <w:qFormat/>
    <w:pPr/>
    <w:rPr/>
  </w:style>
  <w:style w:type="paragraph" w:styleId="VodnsnmekLTTitel" w:customStyle="1">
    <w:name w:val="Úvodní snímek~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VodnsnmekLTUntertitel" w:customStyle="1">
    <w:name w:val="Úvodní snímek~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VodnsnmekLTNotizen" w:customStyle="1">
    <w:name w:val="Úvodní snímek~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VodnsnmekLTHintergrundobjekte" w:customStyle="1">
    <w:name w:val="Úvodní snímek~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VodnsnmekLTHintergrund" w:customStyle="1">
    <w:name w:val="Úvodní snímek~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Default1" w:customStyle="1">
    <w:name w:val="default"/>
    <w:qFormat/>
    <w:pPr>
      <w:widowControl/>
      <w:suppressAutoHyphens w:val="true"/>
      <w:bidi w:val="0"/>
      <w:spacing w:lineRule="atLeast" w:line="200" w:before="0" w:after="0"/>
      <w:jc w:val="left"/>
    </w:pPr>
    <w:rPr>
      <w:rFonts w:ascii="Lucida Sans" w:hAnsi="Lucida Sans" w:eastAsia="Tahoma" w:cs="Liberation Sans"/>
      <w:color w:val="auto"/>
      <w:kern w:val="2"/>
      <w:sz w:val="36"/>
      <w:szCs w:val="24"/>
      <w:lang w:val="cs-CZ" w:eastAsia="cs-CZ" w:bidi="ar-SA"/>
    </w:rPr>
  </w:style>
  <w:style w:type="paragraph" w:styleId="Gray1" w:customStyle="1">
    <w:name w:val="gray1"/>
    <w:basedOn w:val="Default1"/>
    <w:qFormat/>
    <w:pPr/>
    <w:rPr/>
  </w:style>
  <w:style w:type="paragraph" w:styleId="Gray2" w:customStyle="1">
    <w:name w:val="gray2"/>
    <w:basedOn w:val="Default1"/>
    <w:qFormat/>
    <w:pPr/>
    <w:rPr/>
  </w:style>
  <w:style w:type="paragraph" w:styleId="Gray3" w:customStyle="1">
    <w:name w:val="gray3"/>
    <w:basedOn w:val="Default1"/>
    <w:qFormat/>
    <w:pPr/>
    <w:rPr/>
  </w:style>
  <w:style w:type="paragraph" w:styleId="Bw1" w:customStyle="1">
    <w:name w:val="bw1"/>
    <w:basedOn w:val="Default1"/>
    <w:qFormat/>
    <w:pPr/>
    <w:rPr/>
  </w:style>
  <w:style w:type="paragraph" w:styleId="Bw2" w:customStyle="1">
    <w:name w:val="bw2"/>
    <w:basedOn w:val="Default1"/>
    <w:qFormat/>
    <w:pPr/>
    <w:rPr/>
  </w:style>
  <w:style w:type="paragraph" w:styleId="Bw3" w:customStyle="1">
    <w:name w:val="bw3"/>
    <w:basedOn w:val="Default1"/>
    <w:qFormat/>
    <w:pPr/>
    <w:rPr/>
  </w:style>
  <w:style w:type="paragraph" w:styleId="Orange1" w:customStyle="1">
    <w:name w:val="orange1"/>
    <w:basedOn w:val="Default1"/>
    <w:qFormat/>
    <w:pPr/>
    <w:rPr/>
  </w:style>
  <w:style w:type="paragraph" w:styleId="Orange2" w:customStyle="1">
    <w:name w:val="orange2"/>
    <w:basedOn w:val="Default1"/>
    <w:qFormat/>
    <w:pPr/>
    <w:rPr/>
  </w:style>
  <w:style w:type="paragraph" w:styleId="Orange3" w:customStyle="1">
    <w:name w:val="orange3"/>
    <w:basedOn w:val="Default1"/>
    <w:qFormat/>
    <w:pPr/>
    <w:rPr/>
  </w:style>
  <w:style w:type="paragraph" w:styleId="Turquoise1" w:customStyle="1">
    <w:name w:val="turquoise1"/>
    <w:basedOn w:val="Default1"/>
    <w:qFormat/>
    <w:pPr/>
    <w:rPr/>
  </w:style>
  <w:style w:type="paragraph" w:styleId="Turquoise2" w:customStyle="1">
    <w:name w:val="turquoise2"/>
    <w:basedOn w:val="Default1"/>
    <w:qFormat/>
    <w:pPr/>
    <w:rPr/>
  </w:style>
  <w:style w:type="paragraph" w:styleId="Turquoise3" w:customStyle="1">
    <w:name w:val="turquoise3"/>
    <w:basedOn w:val="Default1"/>
    <w:qFormat/>
    <w:pPr/>
    <w:rPr/>
  </w:style>
  <w:style w:type="paragraph" w:styleId="Blue1" w:customStyle="1">
    <w:name w:val="blue1"/>
    <w:basedOn w:val="Default1"/>
    <w:qFormat/>
    <w:pPr/>
    <w:rPr/>
  </w:style>
  <w:style w:type="paragraph" w:styleId="Blue2" w:customStyle="1">
    <w:name w:val="blue2"/>
    <w:basedOn w:val="Default1"/>
    <w:qFormat/>
    <w:pPr/>
    <w:rPr/>
  </w:style>
  <w:style w:type="paragraph" w:styleId="Blue3" w:customStyle="1">
    <w:name w:val="blue3"/>
    <w:basedOn w:val="Default1"/>
    <w:qFormat/>
    <w:pPr/>
    <w:rPr/>
  </w:style>
  <w:style w:type="paragraph" w:styleId="Sun1" w:customStyle="1">
    <w:name w:val="sun1"/>
    <w:basedOn w:val="Default1"/>
    <w:qFormat/>
    <w:pPr/>
    <w:rPr/>
  </w:style>
  <w:style w:type="paragraph" w:styleId="Sun2" w:customStyle="1">
    <w:name w:val="sun2"/>
    <w:basedOn w:val="Default1"/>
    <w:qFormat/>
    <w:pPr/>
    <w:rPr/>
  </w:style>
  <w:style w:type="paragraph" w:styleId="Sun3" w:customStyle="1">
    <w:name w:val="sun3"/>
    <w:basedOn w:val="Default1"/>
    <w:qFormat/>
    <w:pPr/>
    <w:rPr/>
  </w:style>
  <w:style w:type="paragraph" w:styleId="Earth1" w:customStyle="1">
    <w:name w:val="earth1"/>
    <w:basedOn w:val="Default1"/>
    <w:qFormat/>
    <w:pPr/>
    <w:rPr/>
  </w:style>
  <w:style w:type="paragraph" w:styleId="Earth2" w:customStyle="1">
    <w:name w:val="earth2"/>
    <w:basedOn w:val="Default1"/>
    <w:qFormat/>
    <w:pPr/>
    <w:rPr/>
  </w:style>
  <w:style w:type="paragraph" w:styleId="Earth3" w:customStyle="1">
    <w:name w:val="earth3"/>
    <w:basedOn w:val="Default1"/>
    <w:qFormat/>
    <w:pPr/>
    <w:rPr/>
  </w:style>
  <w:style w:type="paragraph" w:styleId="Green1" w:customStyle="1">
    <w:name w:val="green1"/>
    <w:basedOn w:val="Default1"/>
    <w:qFormat/>
    <w:pPr/>
    <w:rPr/>
  </w:style>
  <w:style w:type="paragraph" w:styleId="Green2" w:customStyle="1">
    <w:name w:val="green2"/>
    <w:basedOn w:val="Default1"/>
    <w:qFormat/>
    <w:pPr/>
    <w:rPr/>
  </w:style>
  <w:style w:type="paragraph" w:styleId="Green3" w:customStyle="1">
    <w:name w:val="green3"/>
    <w:basedOn w:val="Default1"/>
    <w:qFormat/>
    <w:pPr/>
    <w:rPr/>
  </w:style>
  <w:style w:type="paragraph" w:styleId="Seetang1" w:customStyle="1">
    <w:name w:val="seetang1"/>
    <w:basedOn w:val="Default1"/>
    <w:qFormat/>
    <w:pPr/>
    <w:rPr/>
  </w:style>
  <w:style w:type="paragraph" w:styleId="Seetang2" w:customStyle="1">
    <w:name w:val="seetang2"/>
    <w:basedOn w:val="Default1"/>
    <w:qFormat/>
    <w:pPr/>
    <w:rPr/>
  </w:style>
  <w:style w:type="paragraph" w:styleId="Seetang3" w:customStyle="1">
    <w:name w:val="seetang3"/>
    <w:basedOn w:val="Default1"/>
    <w:qFormat/>
    <w:pPr/>
    <w:rPr/>
  </w:style>
  <w:style w:type="paragraph" w:styleId="Lightblue1" w:customStyle="1">
    <w:name w:val="lightblue1"/>
    <w:basedOn w:val="Default1"/>
    <w:qFormat/>
    <w:pPr/>
    <w:rPr/>
  </w:style>
  <w:style w:type="paragraph" w:styleId="Lightblue2" w:customStyle="1">
    <w:name w:val="lightblue2"/>
    <w:basedOn w:val="Default1"/>
    <w:qFormat/>
    <w:pPr/>
    <w:rPr/>
  </w:style>
  <w:style w:type="paragraph" w:styleId="Lightblue3" w:customStyle="1">
    <w:name w:val="lightblue3"/>
    <w:basedOn w:val="Default1"/>
    <w:qFormat/>
    <w:pPr/>
    <w:rPr/>
  </w:style>
  <w:style w:type="paragraph" w:styleId="Yellow1" w:customStyle="1">
    <w:name w:val="yellow1"/>
    <w:basedOn w:val="Default1"/>
    <w:qFormat/>
    <w:pPr/>
    <w:rPr/>
  </w:style>
  <w:style w:type="paragraph" w:styleId="Yellow2" w:customStyle="1">
    <w:name w:val="yellow2"/>
    <w:basedOn w:val="Default1"/>
    <w:qFormat/>
    <w:pPr/>
    <w:rPr/>
  </w:style>
  <w:style w:type="paragraph" w:styleId="Yellow3" w:customStyle="1">
    <w:name w:val="yellow3"/>
    <w:basedOn w:val="Default1"/>
    <w:qFormat/>
    <w:pPr/>
    <w:rPr/>
  </w:style>
  <w:style w:type="paragraph" w:styleId="Podtitul">
    <w:name w:val="Subtitle"/>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Objektypozad" w:customStyle="1">
    <w:name w:val="Objekty pozadí"/>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ozad" w:customStyle="1">
    <w:name w:val="Pozadí"/>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oznmky" w:customStyle="1">
    <w:name w:val="Poznámky"/>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Osnova1" w:customStyle="1">
    <w:name w:val="Osnova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Osnova2" w:customStyle="1">
    <w:name w:val="Osnova 2"/>
    <w:basedOn w:val="Osnova1"/>
    <w:qFormat/>
    <w:pPr>
      <w:spacing w:before="227" w:after="0"/>
    </w:pPr>
    <w:rPr>
      <w:sz w:val="48"/>
    </w:rPr>
  </w:style>
  <w:style w:type="paragraph" w:styleId="Osnova3" w:customStyle="1">
    <w:name w:val="Osnova 3"/>
    <w:basedOn w:val="Osnova2"/>
    <w:qFormat/>
    <w:pPr>
      <w:spacing w:before="170" w:after="0"/>
    </w:pPr>
    <w:rPr>
      <w:sz w:val="40"/>
    </w:rPr>
  </w:style>
  <w:style w:type="paragraph" w:styleId="Osnova4" w:customStyle="1">
    <w:name w:val="Osnova 4"/>
    <w:basedOn w:val="Osnova3"/>
    <w:qFormat/>
    <w:pPr>
      <w:spacing w:before="113" w:after="0"/>
    </w:pPr>
    <w:rPr/>
  </w:style>
  <w:style w:type="paragraph" w:styleId="Osnova5" w:customStyle="1">
    <w:name w:val="Osnova 5"/>
    <w:basedOn w:val="Osnova4"/>
    <w:qFormat/>
    <w:pPr>
      <w:spacing w:before="57" w:after="0"/>
    </w:pPr>
    <w:rPr/>
  </w:style>
  <w:style w:type="paragraph" w:styleId="Osnova6" w:customStyle="1">
    <w:name w:val="Osnova 6"/>
    <w:basedOn w:val="Osnova5"/>
    <w:qFormat/>
    <w:pPr/>
    <w:rPr/>
  </w:style>
  <w:style w:type="paragraph" w:styleId="Osnova7" w:customStyle="1">
    <w:name w:val="Osnova 7"/>
    <w:basedOn w:val="Osnova6"/>
    <w:qFormat/>
    <w:pPr/>
    <w:rPr/>
  </w:style>
  <w:style w:type="paragraph" w:styleId="Osnova8" w:customStyle="1">
    <w:name w:val="Osnova 8"/>
    <w:basedOn w:val="Osnova7"/>
    <w:qFormat/>
    <w:pPr/>
    <w:rPr/>
  </w:style>
  <w:style w:type="paragraph" w:styleId="Osnova9" w:customStyle="1">
    <w:name w:val="Osnova 9"/>
    <w:basedOn w:val="Osnova8"/>
    <w:qFormat/>
    <w:pPr/>
    <w:rPr/>
  </w:style>
  <w:style w:type="paragraph" w:styleId="NadpisaobsahLTGliederung1" w:customStyle="1">
    <w:name w:val="Nadpis a obsah~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NadpisaobsahLTGliederung2" w:customStyle="1">
    <w:name w:val="Nadpis a obsah~LT~Gliederung 2"/>
    <w:basedOn w:val="NadpisaobsahLTGliederung1"/>
    <w:qFormat/>
    <w:pPr>
      <w:spacing w:before="227" w:after="0"/>
    </w:pPr>
    <w:rPr>
      <w:sz w:val="48"/>
    </w:rPr>
  </w:style>
  <w:style w:type="paragraph" w:styleId="NadpisaobsahLTGliederung3" w:customStyle="1">
    <w:name w:val="Nadpis a obsah~LT~Gliederung 3"/>
    <w:basedOn w:val="NadpisaobsahLTGliederung2"/>
    <w:qFormat/>
    <w:pPr>
      <w:spacing w:before="170" w:after="0"/>
    </w:pPr>
    <w:rPr>
      <w:sz w:val="40"/>
    </w:rPr>
  </w:style>
  <w:style w:type="paragraph" w:styleId="NadpisaobsahLTGliederung4" w:customStyle="1">
    <w:name w:val="Nadpis a obsah~LT~Gliederung 4"/>
    <w:basedOn w:val="NadpisaobsahLTGliederung3"/>
    <w:qFormat/>
    <w:pPr>
      <w:spacing w:before="113" w:after="0"/>
    </w:pPr>
    <w:rPr/>
  </w:style>
  <w:style w:type="paragraph" w:styleId="NadpisaobsahLTGliederung5" w:customStyle="1">
    <w:name w:val="Nadpis a obsah~LT~Gliederung 5"/>
    <w:basedOn w:val="NadpisaobsahLTGliederung4"/>
    <w:qFormat/>
    <w:pPr>
      <w:spacing w:before="57" w:after="0"/>
    </w:pPr>
    <w:rPr/>
  </w:style>
  <w:style w:type="paragraph" w:styleId="NadpisaobsahLTGliederung6" w:customStyle="1">
    <w:name w:val="Nadpis a obsah~LT~Gliederung 6"/>
    <w:basedOn w:val="NadpisaobsahLTGliederung5"/>
    <w:qFormat/>
    <w:pPr/>
    <w:rPr/>
  </w:style>
  <w:style w:type="paragraph" w:styleId="NadpisaobsahLTGliederung7" w:customStyle="1">
    <w:name w:val="Nadpis a obsah~LT~Gliederung 7"/>
    <w:basedOn w:val="NadpisaobsahLTGliederung6"/>
    <w:qFormat/>
    <w:pPr/>
    <w:rPr/>
  </w:style>
  <w:style w:type="paragraph" w:styleId="NadpisaobsahLTGliederung8" w:customStyle="1">
    <w:name w:val="Nadpis a obsah~LT~Gliederung 8"/>
    <w:basedOn w:val="NadpisaobsahLTGliederung7"/>
    <w:qFormat/>
    <w:pPr/>
    <w:rPr/>
  </w:style>
  <w:style w:type="paragraph" w:styleId="NadpisaobsahLTGliederung9" w:customStyle="1">
    <w:name w:val="Nadpis a obsah~LT~Gliederung 9"/>
    <w:basedOn w:val="NadpisaobsahLTGliederung8"/>
    <w:qFormat/>
    <w:pPr/>
    <w:rPr/>
  </w:style>
  <w:style w:type="paragraph" w:styleId="NadpisaobsahLTTitel" w:customStyle="1">
    <w:name w:val="Nadpis a obsah~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NadpisaobsahLTUntertitel" w:customStyle="1">
    <w:name w:val="Nadpis a obsah~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NadpisaobsahLTNotizen" w:customStyle="1">
    <w:name w:val="Nadpis a obsah~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NadpisaobsahLTHintergrundobjekte" w:customStyle="1">
    <w:name w:val="Nadpis a obsah~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NadpisaobsahLTHintergrund" w:customStyle="1">
    <w:name w:val="Nadpis a obsah~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rzdnLTGliederung1" w:customStyle="1">
    <w:name w:val="Prázdný~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PrzdnLTGliederung2" w:customStyle="1">
    <w:name w:val="Prázdný~LT~Gliederung 2"/>
    <w:basedOn w:val="PrzdnLTGliederung1"/>
    <w:qFormat/>
    <w:pPr>
      <w:spacing w:before="227" w:after="0"/>
    </w:pPr>
    <w:rPr>
      <w:sz w:val="48"/>
    </w:rPr>
  </w:style>
  <w:style w:type="paragraph" w:styleId="PrzdnLTGliederung3" w:customStyle="1">
    <w:name w:val="Prázdný~LT~Gliederung 3"/>
    <w:basedOn w:val="PrzdnLTGliederung2"/>
    <w:qFormat/>
    <w:pPr>
      <w:spacing w:before="170" w:after="0"/>
    </w:pPr>
    <w:rPr>
      <w:sz w:val="40"/>
    </w:rPr>
  </w:style>
  <w:style w:type="paragraph" w:styleId="PrzdnLTGliederung4" w:customStyle="1">
    <w:name w:val="Prázdný~LT~Gliederung 4"/>
    <w:basedOn w:val="PrzdnLTGliederung3"/>
    <w:qFormat/>
    <w:pPr>
      <w:spacing w:before="113" w:after="0"/>
    </w:pPr>
    <w:rPr/>
  </w:style>
  <w:style w:type="paragraph" w:styleId="PrzdnLTGliederung5" w:customStyle="1">
    <w:name w:val="Prázdný~LT~Gliederung 5"/>
    <w:basedOn w:val="PrzdnLTGliederung4"/>
    <w:qFormat/>
    <w:pPr>
      <w:spacing w:before="57" w:after="0"/>
    </w:pPr>
    <w:rPr/>
  </w:style>
  <w:style w:type="paragraph" w:styleId="PrzdnLTGliederung6" w:customStyle="1">
    <w:name w:val="Prázdný~LT~Gliederung 6"/>
    <w:basedOn w:val="PrzdnLTGliederung5"/>
    <w:qFormat/>
    <w:pPr/>
    <w:rPr/>
  </w:style>
  <w:style w:type="paragraph" w:styleId="PrzdnLTGliederung7" w:customStyle="1">
    <w:name w:val="Prázdný~LT~Gliederung 7"/>
    <w:basedOn w:val="PrzdnLTGliederung6"/>
    <w:qFormat/>
    <w:pPr/>
    <w:rPr/>
  </w:style>
  <w:style w:type="paragraph" w:styleId="PrzdnLTGliederung8" w:customStyle="1">
    <w:name w:val="Prázdný~LT~Gliederung 8"/>
    <w:basedOn w:val="PrzdnLTGliederung7"/>
    <w:qFormat/>
    <w:pPr/>
    <w:rPr/>
  </w:style>
  <w:style w:type="paragraph" w:styleId="PrzdnLTGliederung9" w:customStyle="1">
    <w:name w:val="Prázdný~LT~Gliederung 9"/>
    <w:basedOn w:val="PrzdnLTGliederung8"/>
    <w:qFormat/>
    <w:pPr/>
    <w:rPr/>
  </w:style>
  <w:style w:type="paragraph" w:styleId="PrzdnLTTitel" w:customStyle="1">
    <w:name w:val="Prázdný~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PrzdnLTUntertitel" w:customStyle="1">
    <w:name w:val="Prázdný~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PrzdnLTNotizen" w:customStyle="1">
    <w:name w:val="Prázdný~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PrzdnLTHintergrundobjekte" w:customStyle="1">
    <w:name w:val="Prázdný~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rzdnLTHintergrund" w:customStyle="1">
    <w:name w:val="Prázdný~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B38F3-0BF9-4337-B5F2-E3A434CFF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Application>LibreOffice/7.3.6.2$Windows_X86_64 LibreOffice_project/c28ca90fd6e1a19e189fc16c05f8f8924961e12e</Application>
  <AppVersion>15.0000</AppVersion>
  <Pages>3</Pages>
  <Words>797</Words>
  <Characters>4491</Characters>
  <CharactersWithSpaces>5225</CharactersWithSpaces>
  <Paragraphs>72</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2023-08-28T09:37:00Z</dcterms:created>
  <dc:creator>Mgr. Lukáš Toman</dc:creator>
  <dc:description/>
  <dc:language>cs-CZ</dc:language>
  <cp:lastModifiedBy/>
  <dcterms:modified xsi:type="dcterms:W3CDTF">2023-09-19T13:18:37Z</dcterms:modified>
  <cp:revision>7</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