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sz w:val="28"/>
          <w:szCs w:val="28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u w:val="none"/>
          <w:lang w:val="cs-CZ" w:eastAsia="cs-CZ" w:bidi="ar-SA"/>
        </w:rPr>
        <w:t>Město Volyně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Zastupitelstvo </w:t>
      </w:r>
      <w:r>
        <w:rPr>
          <w:rFonts w:eastAsia="Times New Roman" w:cs="Arial"/>
          <w:b/>
          <w:color w:val="auto"/>
          <w:kern w:val="0"/>
          <w:sz w:val="28"/>
          <w:szCs w:val="28"/>
          <w:lang w:val="cs-CZ" w:eastAsia="cs-CZ" w:bidi="ar-SA"/>
        </w:rPr>
        <w:t>města Volyně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Obecně závazná vyhláška </w:t>
      </w:r>
      <w:r>
        <w:rPr>
          <w:rFonts w:eastAsia="Times New Roman" w:cs="Arial"/>
          <w:b/>
          <w:color w:val="auto"/>
          <w:kern w:val="0"/>
          <w:sz w:val="28"/>
          <w:szCs w:val="28"/>
          <w:lang w:val="cs-CZ" w:eastAsia="cs-CZ" w:bidi="ar-SA"/>
        </w:rPr>
        <w:t xml:space="preserve">města Volyně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Times New Roman" w:hAnsi="Times New Roman" w:cs="Arial"/>
          <w:b w:val="false"/>
          <w:b w:val="false"/>
          <w:sz w:val="28"/>
          <w:szCs w:val="28"/>
        </w:rPr>
      </w:pPr>
      <w:r>
        <w:rPr>
          <w:rFonts w:cs="Arial" w:ascii="Times New Roman" w:hAnsi="Times New Roman"/>
          <w:b w:val="false"/>
          <w:sz w:val="28"/>
          <w:szCs w:val="28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Times New Roman" w:hAnsi="Times New Roman" w:cs="Arial"/>
          <w:b w:val="false"/>
          <w:b w:val="false"/>
          <w:sz w:val="22"/>
          <w:szCs w:val="22"/>
        </w:rPr>
      </w:pPr>
      <w:r>
        <w:rPr>
          <w:rFonts w:cs="Arial" w:ascii="Times New Roman" w:hAnsi="Times New Roman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sz w:val="24"/>
          <w:szCs w:val="24"/>
        </w:rPr>
        <w:t xml:space="preserve">Zastupitelstvo </w:t>
      </w:r>
      <w:r>
        <w:rPr>
          <w:rFonts w:eastAsia="Times New Roman" w:cs="Arial" w:ascii="Times New Roman" w:hAnsi="Times New Roman"/>
          <w:b w:val="false"/>
          <w:bCs/>
          <w:color w:val="auto"/>
          <w:kern w:val="2"/>
          <w:sz w:val="24"/>
          <w:szCs w:val="24"/>
          <w:lang w:val="cs-CZ" w:eastAsia="cs-CZ" w:bidi="ar-SA"/>
        </w:rPr>
        <w:t xml:space="preserve">města Volyně </w:t>
      </w:r>
      <w:r>
        <w:rPr>
          <w:rFonts w:cs="Arial" w:ascii="Times New Roman" w:hAnsi="Times New Roman"/>
          <w:b w:val="false"/>
          <w:sz w:val="24"/>
          <w:szCs w:val="24"/>
        </w:rPr>
        <w:t xml:space="preserve">se na svém zasedání dne 14.12.2022 usnesením </w:t>
        <w:br/>
        <w:t xml:space="preserve">č. </w:t>
      </w:r>
      <w:r>
        <w:rPr>
          <w:rFonts w:eastAsia="Times New Roman" w:cs="Arial" w:ascii="Times New Roman" w:hAnsi="Times New Roman"/>
          <w:b w:val="false"/>
          <w:bCs/>
          <w:color w:val="auto"/>
          <w:kern w:val="2"/>
          <w:sz w:val="24"/>
          <w:szCs w:val="24"/>
          <w:lang w:val="cs-CZ" w:eastAsia="cs-CZ" w:bidi="ar-SA"/>
        </w:rPr>
        <w:t>35/2022/ZM-02</w:t>
      </w:r>
      <w:r>
        <w:rPr>
          <w:rFonts w:cs="Arial" w:ascii="Times New Roman" w:hAnsi="Times New Roman"/>
          <w:b w:val="false"/>
          <w:sz w:val="24"/>
          <w:szCs w:val="24"/>
        </w:rPr>
        <w:t xml:space="preserve"> usneslo vydat na základě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Times New Roman" w:hAnsi="Times New Roman"/>
        </w:rPr>
      </w:pPr>
      <w:r>
        <w:rPr>
          <w:rFonts w:cs="Arial"/>
        </w:rPr>
        <w:t>Čl. 1</w:t>
      </w:r>
    </w:p>
    <w:p>
      <w:pPr>
        <w:pStyle w:val="Nzvylnk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color w:val="auto"/>
          <w:kern w:val="0"/>
          <w:sz w:val="24"/>
          <w:szCs w:val="24"/>
          <w:lang w:val="cs-CZ" w:eastAsia="cs-CZ" w:bidi="ar-SA"/>
        </w:rPr>
        <w:t>Město Volyně</w:t>
      </w:r>
      <w:r>
        <w:rPr>
          <w:rFonts w:cs="Arial"/>
          <w:sz w:val="24"/>
          <w:szCs w:val="24"/>
        </w:rPr>
        <w:t xml:space="preserve">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Správcem poplatku je městský úřad.</w:t>
      </w:r>
      <w:r>
        <w:rPr>
          <w:rStyle w:val="Ukotvenpoznmkypodarou"/>
          <w:rFonts w:cs="Arial"/>
          <w:sz w:val="24"/>
          <w:szCs w:val="24"/>
        </w:rPr>
        <w:footnoteReference w:id="2"/>
      </w:r>
    </w:p>
    <w:p>
      <w:pPr>
        <w:pStyle w:val="Slalnk"/>
        <w:spacing w:before="480" w:after="6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Čl. 2</w:t>
      </w:r>
    </w:p>
    <w:p>
      <w:pPr>
        <w:pStyle w:val="Nzvylnk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Poplatníkem poplatku je</w:t>
      </w:r>
      <w:r>
        <w:rPr>
          <w:rStyle w:val="Ukotvenpoznmkypodarou"/>
          <w:rFonts w:cs="Arial"/>
          <w:sz w:val="24"/>
          <w:szCs w:val="24"/>
        </w:rPr>
        <w:footnoteReference w:id="3"/>
      </w:r>
      <w:r>
        <w:rPr>
          <w:rFonts w:cs="Arial"/>
          <w:sz w:val="24"/>
          <w:szCs w:val="24"/>
        </w:rPr>
        <w:t>:</w:t>
      </w:r>
    </w:p>
    <w:p>
      <w:pPr>
        <w:pStyle w:val="Default"/>
        <w:spacing w:before="0" w:after="5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fyzická osoba přihlášená v obci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nebo </w:t>
      </w:r>
    </w:p>
    <w:p>
      <w:pPr>
        <w:pStyle w:val="Default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/>
          <w:sz w:val="24"/>
          <w:szCs w:val="24"/>
        </w:rPr>
        <w:footnoteReference w:id="5"/>
      </w:r>
    </w:p>
    <w:p>
      <w:pPr>
        <w:pStyle w:val="Normal"/>
        <w:numPr>
          <w:ilvl w:val="0"/>
          <w:numId w:val="0"/>
        </w:numPr>
        <w:spacing w:lineRule="auto" w:line="264" w:before="120" w:after="60"/>
        <w:ind w:left="1353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64" w:before="120" w:after="60"/>
        <w:ind w:left="1353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Čl. 3</w:t>
      </w:r>
    </w:p>
    <w:p>
      <w:pPr>
        <w:pStyle w:val="Normal"/>
        <w:numPr>
          <w:ilvl w:val="0"/>
          <w:numId w:val="0"/>
        </w:numPr>
        <w:spacing w:lineRule="auto" w:line="264" w:before="120" w:after="60"/>
        <w:ind w:left="1353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Poplatkové období</w:t>
      </w:r>
    </w:p>
    <w:p>
      <w:pPr>
        <w:pStyle w:val="Normal"/>
        <w:numPr>
          <w:ilvl w:val="0"/>
          <w:numId w:val="0"/>
        </w:numPr>
        <w:spacing w:lineRule="auto" w:line="264" w:before="120" w:after="60"/>
        <w:ind w:left="0" w:hanging="0"/>
        <w:jc w:val="left"/>
        <w:rPr>
          <w:rFonts w:ascii="Times New Roman" w:hAnsi="Times New Roman"/>
        </w:rPr>
      </w:pPr>
      <w:r>
        <w:rPr>
          <w:rFonts w:cs="Arial"/>
          <w:b w:val="false"/>
          <w:bCs w:val="false"/>
          <w:sz w:val="24"/>
          <w:szCs w:val="24"/>
        </w:rPr>
        <w:t xml:space="preserve">         </w:t>
      </w:r>
      <w:r>
        <w:rPr>
          <w:rFonts w:cs="Arial"/>
          <w:b w:val="false"/>
          <w:bCs w:val="false"/>
          <w:sz w:val="24"/>
          <w:szCs w:val="24"/>
        </w:rPr>
        <w:t>Poplatkovým obdobím poplatku je kalendářní rok.</w:t>
      </w:r>
      <w:r>
        <w:rPr>
          <w:rStyle w:val="Ukotvenpoznmkypodarou"/>
          <w:rFonts w:cs="Arial"/>
          <w:b w:val="false"/>
          <w:bCs w:val="false"/>
          <w:sz w:val="24"/>
          <w:szCs w:val="24"/>
        </w:rPr>
        <w:footnoteReference w:id="6"/>
      </w:r>
    </w:p>
    <w:p>
      <w:pPr>
        <w:pStyle w:val="Slalnk"/>
        <w:spacing w:before="480" w:after="6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Čl. 4</w:t>
      </w:r>
    </w:p>
    <w:p>
      <w:pPr>
        <w:pStyle w:val="Nzvylnk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Poplatník je povinen podat správci poplatku ohlášení nejpozději do </w:t>
      </w:r>
      <w:r>
        <w:rPr>
          <w:rFonts w:eastAsia="Times New Roman" w:cs="Arial"/>
          <w:color w:val="auto"/>
          <w:kern w:val="0"/>
          <w:sz w:val="24"/>
          <w:szCs w:val="24"/>
          <w:lang w:val="cs-CZ" w:eastAsia="cs-CZ" w:bidi="ar-SA"/>
        </w:rPr>
        <w:t>15</w:t>
      </w:r>
      <w:r>
        <w:rPr>
          <w:rFonts w:cs="Arial"/>
          <w:sz w:val="24"/>
          <w:szCs w:val="24"/>
        </w:rPr>
        <w:t xml:space="preserve"> dnů ode dne vzniku své poplatkové povinnosti.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 ohlášení poplatník uvede</w:t>
      </w:r>
      <w:r>
        <w:rPr>
          <w:rStyle w:val="Ukotvenpoznmkypodarou"/>
          <w:rFonts w:cs="Arial"/>
          <w:sz w:val="24"/>
          <w:szCs w:val="24"/>
        </w:rPr>
        <w:footnoteReference w:id="7"/>
      </w:r>
      <w:r>
        <w:rPr>
          <w:rFonts w:cs="Arial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/>
          <w:sz w:val="24"/>
          <w:szCs w:val="24"/>
        </w:rPr>
        <w:footnoteReference w:id="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/>
          <w:sz w:val="24"/>
          <w:szCs w:val="24"/>
        </w:rPr>
        <w:footnoteReference w:id="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/>
          <w:sz w:val="24"/>
          <w:szCs w:val="24"/>
        </w:rPr>
        <w:footnoteReference w:id="10"/>
      </w:r>
    </w:p>
    <w:p>
      <w:pPr>
        <w:pStyle w:val="Slalnk"/>
        <w:spacing w:before="480" w:after="6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Čl. 5</w:t>
      </w:r>
    </w:p>
    <w:p>
      <w:pPr>
        <w:pStyle w:val="Nzvylnk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Sazba poplatku činí </w:t>
      </w:r>
      <w:r>
        <w:rPr>
          <w:rFonts w:eastAsia="Times New Roman" w:cs="Arial"/>
          <w:b/>
          <w:bCs/>
          <w:color w:val="auto"/>
          <w:kern w:val="0"/>
          <w:sz w:val="24"/>
          <w:szCs w:val="24"/>
          <w:lang w:val="cs-CZ" w:eastAsia="cs-CZ" w:bidi="ar-SA"/>
        </w:rPr>
        <w:t>550</w:t>
      </w:r>
      <w:r>
        <w:rPr>
          <w:rFonts w:cs="Arial"/>
          <w:b/>
          <w:bCs/>
          <w:sz w:val="24"/>
          <w:szCs w:val="24"/>
        </w:rPr>
        <w:t xml:space="preserve"> Kč.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/>
          <w:sz w:val="24"/>
          <w:szCs w:val="24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/>
          <w:sz w:val="24"/>
          <w:szCs w:val="24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c) je poplatník od poplatku osvobozen</w:t>
      </w:r>
      <w:r>
        <w:rPr>
          <w:rFonts w:cs="Arial"/>
          <w:i/>
          <w:color w:val="0070C0"/>
          <w:sz w:val="24"/>
          <w:szCs w:val="24"/>
        </w:rPr>
        <w:t>.</w:t>
      </w:r>
    </w:p>
    <w:p>
      <w:pPr>
        <w:pStyle w:val="Slalnk"/>
        <w:spacing w:before="309" w:after="0"/>
        <w:rPr>
          <w:rFonts w:ascii="Times New Roman" w:hAnsi="Times New Roman"/>
        </w:rPr>
      </w:pPr>
      <w:r>
        <w:rPr>
          <w:rFonts w:cs="Arial"/>
        </w:rPr>
        <w:t>Čl. 6</w:t>
      </w:r>
    </w:p>
    <w:p>
      <w:pPr>
        <w:pStyle w:val="Nzvylnk"/>
        <w:rPr>
          <w:rFonts w:ascii="Times New Roman" w:hAnsi="Times New Roman"/>
        </w:rPr>
      </w:pPr>
      <w:r>
        <w:rPr>
          <w:rFonts w:cs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Times New Roman" w:hAnsi="Times New Roman"/>
        </w:rPr>
      </w:pPr>
      <w:r>
        <w:rPr>
          <w:rFonts w:cs="Arial"/>
          <w:sz w:val="22"/>
          <w:szCs w:val="22"/>
        </w:rPr>
        <w:t xml:space="preserve">Poplatek je splatný jednorázově, a to nejpozději do </w:t>
      </w:r>
      <w:r>
        <w:rPr>
          <w:rFonts w:cs="Arial"/>
          <w:b/>
          <w:bCs/>
          <w:sz w:val="22"/>
          <w:szCs w:val="22"/>
        </w:rPr>
        <w:t xml:space="preserve">31. </w:t>
      </w:r>
      <w:r>
        <w:rPr>
          <w:rFonts w:eastAsia="Times New Roman" w:cs="Arial"/>
          <w:b/>
          <w:bCs/>
          <w:color w:val="auto"/>
          <w:kern w:val="0"/>
          <w:sz w:val="22"/>
          <w:szCs w:val="22"/>
          <w:lang w:val="cs-CZ" w:eastAsia="cs-CZ" w:bidi="ar-SA"/>
        </w:rPr>
        <w:t xml:space="preserve">května </w:t>
      </w:r>
      <w:r>
        <w:rPr>
          <w:rFonts w:cs="Arial"/>
          <w:sz w:val="22"/>
          <w:szCs w:val="22"/>
        </w:rPr>
        <w:t xml:space="preserve">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Times New Roman" w:hAnsi="Times New Roman"/>
        </w:rPr>
      </w:pPr>
      <w:r>
        <w:rPr>
          <w:rFonts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Times New Roman" w:hAnsi="Times New Roman"/>
        </w:rPr>
      </w:pPr>
      <w:r>
        <w:rPr>
          <w:rFonts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252" w:after="0"/>
        <w:rPr>
          <w:rFonts w:ascii="Times New Roman" w:hAnsi="Times New Roman"/>
        </w:rPr>
      </w:pPr>
      <w:r>
        <w:rPr>
          <w:rFonts w:cs="Arial"/>
        </w:rPr>
        <w:t>Čl. 7</w:t>
      </w:r>
    </w:p>
    <w:p>
      <w:pPr>
        <w:pStyle w:val="Nzvylnk"/>
        <w:rPr>
          <w:rFonts w:ascii="Times New Roman" w:hAnsi="Times New Roman"/>
        </w:rPr>
      </w:pPr>
      <w:r>
        <w:rPr>
          <w:rFonts w:cs="Arial"/>
        </w:rPr>
        <w:t>Osvobození</w:t>
      </w:r>
    </w:p>
    <w:p>
      <w:pPr>
        <w:pStyle w:val="Defaul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poplatku je osvobozena osoba, které poplatková povinnost vznikla z důvodu přihlášení v obci a která je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13"/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Default"/>
        <w:ind w:left="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Od poplatku se osvobozuje osoba, které poplatková povinnost vznikla z důvodu přihlášení v obci a která 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a)  se </w:t>
      </w:r>
      <w:r>
        <w:rPr>
          <w:rFonts w:eastAsia="Times New Roman" w:cs="Arial"/>
          <w:color w:val="auto"/>
          <w:kern w:val="0"/>
          <w:sz w:val="24"/>
          <w:szCs w:val="24"/>
          <w:lang w:val="cs-CZ" w:eastAsia="cs-CZ" w:bidi="ar-SA"/>
        </w:rPr>
        <w:t xml:space="preserve">po celý kalendářní rok </w:t>
      </w:r>
      <w:r>
        <w:rPr>
          <w:rFonts w:cs="Arial"/>
          <w:sz w:val="24"/>
          <w:szCs w:val="24"/>
        </w:rPr>
        <w:t>zdržuje mimo území ČR,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b) má trvalý pobyt na ohlašovně úřadu (náměstí Svobody 41, 387 01 Volyně)     </w:t>
        <w:br/>
        <w:t xml:space="preserve">     a na území města a jeho městských částí se nezdržuje,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c)  nedosáhla věku 3 let; osvobození trvá do konce kalendářního roku, ve kterém dítě  </w:t>
        <w:br/>
        <w:t xml:space="preserve">     dosáhlo věku 3 let.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color w:val="auto"/>
          <w:kern w:val="0"/>
          <w:sz w:val="24"/>
          <w:szCs w:val="24"/>
          <w:lang w:val="cs-CZ" w:eastAsia="cs-CZ" w:bidi="ar-SA"/>
        </w:rPr>
        <w:t>(3)</w:t>
      </w:r>
      <w:r>
        <w:rPr>
          <w:rFonts w:cs="Arial"/>
          <w:sz w:val="24"/>
          <w:szCs w:val="24"/>
        </w:rPr>
        <w:tab/>
        <w:t>V případě, že poplatník nesplní povinnost ohlásit údaj rozhodný pro osvobození ve lhůtách stanovených touto vyhláškou nebo zákonem, nárok na osvobození  zaniká.</w:t>
      </w:r>
      <w:r>
        <w:rPr>
          <w:rStyle w:val="Ukotvenpoznmkypodarou"/>
          <w:rFonts w:cs="Arial"/>
          <w:sz w:val="24"/>
          <w:szCs w:val="24"/>
        </w:rPr>
        <w:footnoteReference w:id="14"/>
      </w:r>
    </w:p>
    <w:p>
      <w:pPr>
        <w:pStyle w:val="Slalnk"/>
        <w:spacing w:before="252" w:after="0"/>
        <w:rPr>
          <w:rFonts w:ascii="Times New Roman" w:hAnsi="Times New Roman"/>
        </w:rPr>
      </w:pPr>
      <w:r>
        <w:rPr>
          <w:rFonts w:cs="Arial"/>
        </w:rPr>
        <w:t>Čl. 8</w:t>
      </w:r>
    </w:p>
    <w:p>
      <w:pPr>
        <w:pStyle w:val="Nzvylnk"/>
        <w:rPr>
          <w:rFonts w:ascii="Times New Roman" w:hAnsi="Times New Roman"/>
        </w:rPr>
      </w:pPr>
      <w:r>
        <w:rPr>
          <w:rFonts w:cs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/>
          <w:sz w:val="24"/>
          <w:szCs w:val="24"/>
        </w:rPr>
        <w:footnoteReference w:id="15"/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/>
          <w:sz w:val="24"/>
          <w:szCs w:val="24"/>
        </w:rPr>
        <w:footnoteReference w:id="16"/>
      </w:r>
    </w:p>
    <w:p>
      <w:pPr>
        <w:pStyle w:val="Slalnk"/>
        <w:spacing w:before="480" w:after="6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Čl. 9</w:t>
      </w:r>
    </w:p>
    <w:p>
      <w:pPr>
        <w:pStyle w:val="Slalnk"/>
        <w:spacing w:before="60" w:after="16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Odpovědnost za zaplacení poplatku</w:t>
      </w:r>
      <w:r>
        <w:rPr>
          <w:rStyle w:val="Ukotvenpoznmkypodarou"/>
          <w:rFonts w:cs="Arial"/>
          <w:sz w:val="24"/>
          <w:szCs w:val="24"/>
        </w:rPr>
        <w:footnoteReference w:id="17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Čl. 10</w:t>
      </w:r>
    </w:p>
    <w:p>
      <w:pPr>
        <w:pStyle w:val="Nzvylnk"/>
        <w:ind w:left="3399" w:firstLine="141"/>
        <w:jc w:val="left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Společná ustanovení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Ustanovení o nemovité věci se použijí obdobně i na jednotku, která je vymezena podle zákona o vlastnictví bytů, spolu s touto jednotkou spojeným podílem na společných částech domu,a pokud je s ní spojeno vlastnictví k pozemku, tak i spolu s podílem na tomto pozemku.</w:t>
      </w:r>
      <w:r>
        <w:rPr>
          <w:rStyle w:val="Ukotvenpoznmkypodarou"/>
          <w:rFonts w:cs="Arial"/>
          <w:sz w:val="24"/>
          <w:szCs w:val="24"/>
        </w:rPr>
        <w:footnoteReference w:id="1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/>
          <w:sz w:val="24"/>
          <w:szCs w:val="24"/>
        </w:rPr>
        <w:footnoteReference w:id="19"/>
      </w:r>
    </w:p>
    <w:p>
      <w:pPr>
        <w:pStyle w:val="Slalnk"/>
        <w:spacing w:before="480" w:after="6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Čl. 11</w:t>
      </w:r>
    </w:p>
    <w:p>
      <w:pPr>
        <w:pStyle w:val="Nzvylnk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Přechodná ustanovení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Údaje ohlášené poplatníkem </w:t>
      </w:r>
      <w:bookmarkStart w:id="0" w:name="_Hlk54596575"/>
      <w:r>
        <w:rPr>
          <w:rFonts w:cs="Arial"/>
          <w:sz w:val="24"/>
          <w:szCs w:val="24"/>
        </w:rPr>
        <w:t>místního poplatku za provoz systému shromažďování, sběru, přepravy, třídění, využívání a odstraňování komunálních odpadů</w:t>
      </w:r>
      <w:bookmarkEnd w:id="0"/>
      <w:r>
        <w:rPr>
          <w:rFonts w:cs="Arial"/>
          <w:sz w:val="24"/>
          <w:szCs w:val="24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Poplatkové povinnosti vzniklé před nabytím účinnosti této vyhlášky se posuzují podle dosavadních právních předpisů.</w:t>
      </w:r>
    </w:p>
    <w:p>
      <w:pPr>
        <w:pStyle w:val="Slalnk"/>
        <w:spacing w:before="480" w:after="6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Čl. 12</w:t>
      </w:r>
    </w:p>
    <w:p>
      <w:pPr>
        <w:pStyle w:val="Nzvylnk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Zrušovací ustanovení</w:t>
      </w:r>
    </w:p>
    <w:p>
      <w:pPr>
        <w:pStyle w:val="Nzvylnk"/>
        <w:jc w:val="both"/>
        <w:rPr/>
      </w:pPr>
      <w:r>
        <w:rPr/>
        <w:tab/>
      </w:r>
      <w:r>
        <w:rPr>
          <w:b w:val="false"/>
          <w:bCs w:val="false"/>
          <w:sz w:val="24"/>
          <w:szCs w:val="24"/>
        </w:rPr>
        <w:t xml:space="preserve">Zrušuje se obecně závazná vyhláška č. 6/2019, o místním poplatku za provoz systému </w:t>
        <w:tab/>
        <w:t xml:space="preserve">shromažďování, sběru, přepravy, třídění, využívání a odstraňování komunálních </w:t>
        <w:tab/>
        <w:t xml:space="preserve">odpadů  ze dne 11.12.2019. </w:t>
      </w:r>
    </w:p>
    <w:p>
      <w:pPr>
        <w:pStyle w:val="Nzvylnk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lalnk"/>
        <w:spacing w:before="480" w:after="6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Čl. 13</w:t>
      </w:r>
    </w:p>
    <w:p>
      <w:pPr>
        <w:pStyle w:val="Nzvylnk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Účinnost</w:t>
      </w:r>
    </w:p>
    <w:p>
      <w:pPr>
        <w:pStyle w:val="Normal"/>
        <w:spacing w:lineRule="auto" w:line="288" w:before="12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 w:val="false"/>
          <w:bCs w:val="false"/>
          <w:i/>
          <w:color w:val="0070C0"/>
          <w:sz w:val="24"/>
          <w:szCs w:val="24"/>
        </w:rPr>
        <w:t xml:space="preserve">            </w:t>
      </w:r>
      <w:r>
        <w:rPr>
          <w:rFonts w:cs="Arial"/>
          <w:sz w:val="24"/>
          <w:szCs w:val="24"/>
        </w:rPr>
        <w:t xml:space="preserve">Tato vyhláška nabývá účinnosti dnem </w:t>
      </w:r>
      <w:r>
        <w:rPr>
          <w:rFonts w:eastAsia="Times New Roman" w:cs="Arial"/>
          <w:color w:val="auto"/>
          <w:kern w:val="0"/>
          <w:sz w:val="24"/>
          <w:szCs w:val="24"/>
          <w:lang w:val="cs-CZ" w:eastAsia="cs-CZ" w:bidi="ar-SA"/>
        </w:rPr>
        <w:t>1.1.2023</w:t>
      </w:r>
      <w:r>
        <w:rPr>
          <w:rFonts w:cs="Arial"/>
          <w:sz w:val="24"/>
          <w:szCs w:val="24"/>
        </w:rPr>
        <w:t xml:space="preserve">. </w:t>
      </w:r>
    </w:p>
    <w:p>
      <w:pPr>
        <w:pStyle w:val="Nzvylnk"/>
        <w:jc w:val="left"/>
        <w:rPr>
          <w:rFonts w:ascii="Times New Roman" w:hAnsi="Times New Roman" w:cs="Arial"/>
          <w:b w:val="false"/>
          <w:b w:val="false"/>
          <w:bCs w:val="false"/>
          <w:i/>
          <w:i/>
          <w:color w:val="1A4BD6"/>
          <w:sz w:val="24"/>
          <w:szCs w:val="24"/>
        </w:rPr>
      </w:pPr>
      <w:r>
        <w:rPr>
          <w:rFonts w:cs="Arial"/>
          <w:b w:val="false"/>
          <w:bCs w:val="false"/>
          <w:i/>
          <w:color w:val="1A4BD6"/>
          <w:sz w:val="24"/>
          <w:szCs w:val="24"/>
        </w:rPr>
      </w:r>
    </w:p>
    <w:p>
      <w:pPr>
        <w:pStyle w:val="Nzvylnk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zvylnk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Times New Roman" w:hAnsi="Times New Roman"/>
          <w:sz w:val="24"/>
          <w:szCs w:val="24"/>
        </w:rPr>
      </w:pPr>
      <w:r>
        <w:rPr>
          <w:rFonts w:cs="Arial"/>
          <w:i/>
          <w:sz w:val="24"/>
          <w:szCs w:val="24"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Times New Roman" w:hAnsi="Times New Roman"/>
          <w:sz w:val="24"/>
          <w:szCs w:val="24"/>
        </w:rPr>
      </w:pPr>
      <w:r>
        <w:rPr>
          <w:rFonts w:cs="Arial"/>
          <w:i/>
          <w:sz w:val="24"/>
          <w:szCs w:val="24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color w:val="auto"/>
          <w:kern w:val="0"/>
          <w:sz w:val="24"/>
          <w:szCs w:val="24"/>
          <w:lang w:val="cs-CZ" w:eastAsia="cs-CZ" w:bidi="ar-SA"/>
        </w:rPr>
        <w:t xml:space="preserve">              </w:t>
      </w:r>
      <w:r>
        <w:rPr>
          <w:rFonts w:eastAsia="Times New Roman" w:cs="Arial"/>
          <w:color w:val="auto"/>
          <w:kern w:val="0"/>
          <w:sz w:val="24"/>
          <w:szCs w:val="24"/>
          <w:lang w:val="cs-CZ" w:eastAsia="cs-CZ" w:bidi="ar-SA"/>
        </w:rPr>
        <w:t xml:space="preserve">Ing. Martin Červený                                                           Ing. Václav Valhoda                                                          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starosta                                                                                 místostarosta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tabs>
          <w:tab w:val="clear" w:pos="708"/>
          <w:tab w:val="left" w:pos="3780" w:leader="none"/>
        </w:tabs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780" w:leader="none"/>
        </w:tabs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780" w:leader="none"/>
        </w:tabs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780" w:leader="none"/>
        </w:tabs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780" w:leader="none"/>
        </w:tabs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780" w:leader="none"/>
        </w:tabs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780" w:leader="none"/>
        </w:tabs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780" w:leader="none"/>
        </w:tabs>
        <w:ind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  <w:szCs w:val="24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  <w:szCs w:val="24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LibreOffice/7.0.4.2$Windows_X86_64 LibreOffice_project/dcf040e67528d9187c66b2379df5ea4407429775</Application>
  <AppVersion>15.0000</AppVersion>
  <Pages>5</Pages>
  <Words>1405</Words>
  <Characters>7913</Characters>
  <CharactersWithSpaces>9486</CharactersWithSpaces>
  <Paragraphs>108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2021-12-10T13:19:00Z</dcterms:created>
  <dc:creator>Mgr. Lukáš Toman</dc:creator>
  <dc:description/>
  <dc:language>cs-CZ</dc:language>
  <cp:lastModifiedBy/>
  <cp:lastPrinted>2022-12-19T14:17:01Z</cp:lastPrinted>
  <dcterms:modified xsi:type="dcterms:W3CDTF">2022-12-19T14:26:32Z</dcterms:modified>
  <cp:revision>22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