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596" w:rsidRPr="00535010" w:rsidRDefault="00510818" w:rsidP="00EA7596">
      <w:pPr>
        <w:pStyle w:val="Normlnweb"/>
        <w:spacing w:before="0" w:beforeAutospacing="0" w:after="360" w:afterAutospacing="0"/>
        <w:jc w:val="center"/>
        <w:rPr>
          <w:b/>
          <w:bCs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-1270</wp:posOffset>
            </wp:positionV>
            <wp:extent cx="602615" cy="688975"/>
            <wp:effectExtent l="0" t="0" r="0" b="0"/>
            <wp:wrapNone/>
            <wp:docPr id="4" name="obrázek 3" descr="vit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vitkov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596" w:rsidRPr="00535010">
        <w:rPr>
          <w:b/>
          <w:bCs/>
          <w:sz w:val="28"/>
          <w:szCs w:val="20"/>
        </w:rPr>
        <w:t>MĚSTO VÍTKOV</w:t>
      </w:r>
    </w:p>
    <w:p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ZASTUPITELSTVO MĚSTA VÍTKOV</w:t>
      </w:r>
    </w:p>
    <w:p w:rsidR="00EA7596" w:rsidRPr="00535010" w:rsidRDefault="00EA7596" w:rsidP="00EA7596">
      <w:pPr>
        <w:spacing w:after="360"/>
        <w:jc w:val="center"/>
        <w:rPr>
          <w:b/>
          <w:bCs/>
          <w:sz w:val="28"/>
          <w:szCs w:val="20"/>
        </w:rPr>
      </w:pPr>
      <w:r w:rsidRPr="00535010">
        <w:rPr>
          <w:b/>
          <w:bCs/>
          <w:sz w:val="28"/>
          <w:szCs w:val="20"/>
        </w:rPr>
        <w:t>OBECNĚ ZÁVAZNÁ VYHLÁŠKA MĚSTA VÍTKOV</w:t>
      </w:r>
    </w:p>
    <w:p w:rsidR="00890260" w:rsidRDefault="002A664A" w:rsidP="00EA7596">
      <w:pPr>
        <w:spacing w:after="1080"/>
        <w:jc w:val="center"/>
        <w:rPr>
          <w:b/>
          <w:bCs/>
          <w:sz w:val="28"/>
          <w:szCs w:val="20"/>
        </w:rPr>
      </w:pPr>
      <w:r w:rsidRPr="002A664A">
        <w:rPr>
          <w:b/>
          <w:bCs/>
          <w:sz w:val="28"/>
          <w:szCs w:val="20"/>
        </w:rPr>
        <w:t>o stanovení koeficientu a místního koeficientu pro výpočet daně z nemovitých věcí</w:t>
      </w:r>
    </w:p>
    <w:p w:rsidR="00153301" w:rsidRDefault="002A664A" w:rsidP="00EA7596">
      <w:pPr>
        <w:pStyle w:val="Zkladntextodsazen"/>
        <w:spacing w:after="1080"/>
        <w:ind w:left="0" w:firstLine="0"/>
        <w:jc w:val="both"/>
        <w:rPr>
          <w:sz w:val="22"/>
        </w:rPr>
      </w:pPr>
      <w:r w:rsidRPr="002A664A">
        <w:rPr>
          <w:sz w:val="22"/>
        </w:rPr>
        <w:t>Zastupitelstvo města Vítkov se na svém zasedání dne 27. 09. 2023 usneslo vydat na základě § 6 odst. 4 písm. b), § 11 odst. 3 písm. a) a b) a § 12 zákona č. 338/1992 Sb., o dani z nemovitých věcí, ve znění pozdějších předpisů (dále jen „zákon o dani z nemovitých věcí“) a § 84 odst. 2 písm. h) zákona č. 128/2000 Sb., o obcích (obecní zřízení), ve znění pozdějších předpisů, tuto obecně závaznou vyhlášku</w:t>
      </w:r>
      <w:r w:rsidR="0063333E">
        <w:rPr>
          <w:sz w:val="22"/>
        </w:rPr>
        <w:t xml:space="preserve"> </w:t>
      </w:r>
      <w:r w:rsidR="0063333E" w:rsidRPr="0063333E">
        <w:rPr>
          <w:sz w:val="22"/>
        </w:rPr>
        <w:t>(dále jen „vyhláška“)</w:t>
      </w:r>
      <w:r w:rsidRPr="002A664A">
        <w:rPr>
          <w:sz w:val="22"/>
        </w:rPr>
        <w:t>:</w:t>
      </w:r>
    </w:p>
    <w:p w:rsidR="009F6024" w:rsidRPr="009F6024" w:rsidRDefault="009F6024" w:rsidP="009F6024">
      <w:pPr>
        <w:jc w:val="center"/>
        <w:rPr>
          <w:b/>
          <w:bCs/>
          <w:sz w:val="22"/>
          <w:szCs w:val="20"/>
        </w:rPr>
      </w:pPr>
      <w:r w:rsidRPr="009F6024">
        <w:rPr>
          <w:b/>
          <w:bCs/>
          <w:sz w:val="22"/>
          <w:szCs w:val="20"/>
        </w:rPr>
        <w:t>Čl. 1</w:t>
      </w:r>
    </w:p>
    <w:p w:rsidR="00890260" w:rsidRPr="009F6024" w:rsidRDefault="002A664A" w:rsidP="009F6024">
      <w:pPr>
        <w:spacing w:after="240"/>
        <w:jc w:val="center"/>
        <w:rPr>
          <w:b/>
          <w:bCs/>
          <w:sz w:val="22"/>
          <w:szCs w:val="20"/>
        </w:rPr>
      </w:pPr>
      <w:r w:rsidRPr="002A664A">
        <w:rPr>
          <w:b/>
          <w:bCs/>
          <w:sz w:val="22"/>
          <w:szCs w:val="20"/>
        </w:rPr>
        <w:t>Pozemky</w:t>
      </w:r>
    </w:p>
    <w:p w:rsidR="00591582" w:rsidRDefault="00591582" w:rsidP="00591582">
      <w:pPr>
        <w:spacing w:after="120"/>
        <w:jc w:val="both"/>
        <w:rPr>
          <w:sz w:val="22"/>
          <w:szCs w:val="20"/>
        </w:rPr>
      </w:pPr>
      <w:r w:rsidRPr="00591582">
        <w:rPr>
          <w:sz w:val="22"/>
          <w:szCs w:val="20"/>
        </w:rPr>
        <w:t>U stavebních pozemků se stanovuje koeficient, kterým se násobí základní sazba daně stanovená dle §</w:t>
      </w:r>
      <w:r>
        <w:rPr>
          <w:sz w:val="22"/>
          <w:szCs w:val="20"/>
        </w:rPr>
        <w:t> </w:t>
      </w:r>
      <w:r w:rsidRPr="00591582">
        <w:rPr>
          <w:sz w:val="22"/>
          <w:szCs w:val="20"/>
        </w:rPr>
        <w:t>6 odst. 2 písm. b) zákona o dani z nemovitých věcí, v následující výši:</w:t>
      </w:r>
    </w:p>
    <w:p w:rsidR="00591582" w:rsidRPr="0043513E" w:rsidRDefault="00591582" w:rsidP="00E35527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 města </w:t>
      </w:r>
      <w:r w:rsidRPr="00591582">
        <w:rPr>
          <w:sz w:val="22"/>
          <w:szCs w:val="20"/>
        </w:rPr>
        <w:t>Vítkov</w:t>
      </w:r>
      <w:r w:rsidRPr="0043513E">
        <w:rPr>
          <w:sz w:val="22"/>
          <w:szCs w:val="20"/>
        </w:rPr>
        <w:tab/>
      </w:r>
      <w:r>
        <w:rPr>
          <w:sz w:val="22"/>
          <w:szCs w:val="20"/>
        </w:rPr>
        <w:t>koeficient 1,4;</w:t>
      </w:r>
    </w:p>
    <w:p w:rsidR="00591582" w:rsidRPr="0043513E" w:rsidRDefault="00591582" w:rsidP="00591582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120" w:afterAutospacing="0"/>
        <w:ind w:left="714" w:right="1132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Klokočov</w:t>
      </w:r>
      <w:r w:rsidRPr="0043513E">
        <w:rPr>
          <w:sz w:val="22"/>
          <w:szCs w:val="20"/>
        </w:rPr>
        <w:tab/>
      </w:r>
      <w:r w:rsidRPr="00591582">
        <w:rPr>
          <w:sz w:val="22"/>
          <w:szCs w:val="20"/>
        </w:rPr>
        <w:t>koeficient 1,4;</w:t>
      </w:r>
    </w:p>
    <w:p w:rsidR="00591582" w:rsidRDefault="00591582" w:rsidP="00591582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Nové Těchanovice</w:t>
      </w:r>
      <w:r w:rsidRPr="00591582">
        <w:rPr>
          <w:sz w:val="22"/>
          <w:szCs w:val="20"/>
        </w:rPr>
        <w:tab/>
        <w:t>koeficient 1,4;</w:t>
      </w:r>
    </w:p>
    <w:p w:rsidR="00591582" w:rsidRDefault="00591582" w:rsidP="00591582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Zálužné</w:t>
      </w:r>
      <w:r w:rsidRPr="00591582">
        <w:rPr>
          <w:sz w:val="22"/>
          <w:szCs w:val="20"/>
        </w:rPr>
        <w:tab/>
        <w:t>koeficient 1,4;</w:t>
      </w:r>
    </w:p>
    <w:p w:rsidR="00591582" w:rsidRDefault="00591582" w:rsidP="00591582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Lhotka</w:t>
      </w:r>
      <w:r w:rsidRPr="00591582">
        <w:rPr>
          <w:sz w:val="22"/>
          <w:szCs w:val="20"/>
        </w:rPr>
        <w:tab/>
        <w:t>koeficient 1,4;</w:t>
      </w:r>
    </w:p>
    <w:p w:rsidR="00591582" w:rsidRDefault="00591582" w:rsidP="00591582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Podhradí</w:t>
      </w:r>
      <w:r w:rsidRPr="00591582">
        <w:rPr>
          <w:sz w:val="22"/>
          <w:szCs w:val="20"/>
        </w:rPr>
        <w:tab/>
        <w:t>koeficient 1,4;</w:t>
      </w:r>
    </w:p>
    <w:p w:rsidR="00591582" w:rsidRPr="0043513E" w:rsidRDefault="00591582" w:rsidP="00591582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120" w:afterAutospacing="0"/>
        <w:ind w:left="720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Prostření dvůr</w:t>
      </w:r>
      <w:r w:rsidRPr="0043513E">
        <w:rPr>
          <w:sz w:val="22"/>
          <w:szCs w:val="20"/>
        </w:rPr>
        <w:tab/>
      </w:r>
      <w:r w:rsidRPr="00591582">
        <w:rPr>
          <w:sz w:val="22"/>
          <w:szCs w:val="20"/>
        </w:rPr>
        <w:t>koeficient 1,4;</w:t>
      </w:r>
    </w:p>
    <w:p w:rsidR="00591582" w:rsidRPr="0043513E" w:rsidRDefault="00591582" w:rsidP="00591582">
      <w:pPr>
        <w:pStyle w:val="Normlnweb"/>
        <w:numPr>
          <w:ilvl w:val="1"/>
          <w:numId w:val="12"/>
        </w:numPr>
        <w:tabs>
          <w:tab w:val="clear" w:pos="1440"/>
          <w:tab w:val="num" w:pos="720"/>
          <w:tab w:val="right" w:leader="dot" w:pos="9000"/>
        </w:tabs>
        <w:spacing w:before="0" w:beforeAutospacing="0" w:after="60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Jelenice</w:t>
      </w:r>
      <w:r w:rsidRPr="0043513E">
        <w:rPr>
          <w:sz w:val="22"/>
          <w:szCs w:val="20"/>
        </w:rPr>
        <w:tab/>
      </w:r>
      <w:r>
        <w:rPr>
          <w:sz w:val="22"/>
          <w:szCs w:val="20"/>
        </w:rPr>
        <w:t>koeficient 1,4.</w:t>
      </w:r>
    </w:p>
    <w:p w:rsidR="008A0C45" w:rsidRPr="00893E18" w:rsidRDefault="008A0C45" w:rsidP="008A0C45">
      <w:pPr>
        <w:jc w:val="center"/>
        <w:rPr>
          <w:b/>
          <w:bCs/>
          <w:sz w:val="22"/>
          <w:szCs w:val="20"/>
        </w:rPr>
      </w:pPr>
      <w:r w:rsidRPr="00893E18">
        <w:rPr>
          <w:b/>
          <w:bCs/>
          <w:sz w:val="22"/>
          <w:szCs w:val="20"/>
        </w:rPr>
        <w:t xml:space="preserve">Čl. </w:t>
      </w:r>
      <w:r w:rsidR="00591582">
        <w:rPr>
          <w:b/>
          <w:bCs/>
          <w:sz w:val="22"/>
          <w:szCs w:val="20"/>
        </w:rPr>
        <w:t>2</w:t>
      </w:r>
    </w:p>
    <w:p w:rsidR="007052FA" w:rsidRDefault="00591582" w:rsidP="008A0C45">
      <w:pPr>
        <w:spacing w:after="240"/>
        <w:jc w:val="center"/>
        <w:rPr>
          <w:b/>
          <w:bCs/>
          <w:sz w:val="22"/>
          <w:szCs w:val="20"/>
        </w:rPr>
      </w:pPr>
      <w:r w:rsidRPr="00591582">
        <w:rPr>
          <w:b/>
          <w:bCs/>
          <w:sz w:val="22"/>
          <w:szCs w:val="20"/>
        </w:rPr>
        <w:t>Zdanitelné stavby a zdanitelné jednotky</w:t>
      </w:r>
    </w:p>
    <w:p w:rsidR="00591582" w:rsidRDefault="00E35527" w:rsidP="00434ED3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120" w:afterAutospacing="0"/>
        <w:ind w:left="357" w:hanging="357"/>
        <w:jc w:val="both"/>
        <w:rPr>
          <w:sz w:val="22"/>
          <w:szCs w:val="20"/>
        </w:rPr>
      </w:pPr>
      <w:r w:rsidRPr="00E35527">
        <w:rPr>
          <w:sz w:val="22"/>
          <w:szCs w:val="20"/>
        </w:rPr>
        <w:t>U zdanitelných staveb a zdanitelných jednotek se stanovuje koeficient, kterým se násobí základní sazba daně dle §</w:t>
      </w:r>
      <w:r>
        <w:rPr>
          <w:sz w:val="22"/>
          <w:szCs w:val="20"/>
        </w:rPr>
        <w:t> </w:t>
      </w:r>
      <w:r w:rsidRPr="00E35527">
        <w:rPr>
          <w:sz w:val="22"/>
          <w:szCs w:val="20"/>
        </w:rPr>
        <w:t>11 odst. 1 písmeno a) a f) zákona o dani z nemovitých věcí, případně sazba daně zvýšená podle §</w:t>
      </w:r>
      <w:r>
        <w:rPr>
          <w:sz w:val="22"/>
          <w:szCs w:val="20"/>
        </w:rPr>
        <w:t> </w:t>
      </w:r>
      <w:r w:rsidRPr="00E35527">
        <w:rPr>
          <w:sz w:val="22"/>
          <w:szCs w:val="20"/>
        </w:rPr>
        <w:t>11 odst. 2 zákona o dani z nemovitých věcí, v následující výši:</w:t>
      </w:r>
    </w:p>
    <w:p w:rsidR="00591582" w:rsidRPr="0043513E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Vítkov</w:t>
      </w:r>
      <w:r w:rsidRPr="0043513E">
        <w:rPr>
          <w:sz w:val="22"/>
          <w:szCs w:val="20"/>
        </w:rPr>
        <w:tab/>
      </w:r>
      <w:r>
        <w:rPr>
          <w:sz w:val="22"/>
          <w:szCs w:val="20"/>
        </w:rPr>
        <w:t>koeficient 1,4;</w:t>
      </w:r>
    </w:p>
    <w:p w:rsidR="00591582" w:rsidRPr="0043513E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Klokočov</w:t>
      </w:r>
      <w:r w:rsidRPr="0043513E">
        <w:rPr>
          <w:sz w:val="22"/>
          <w:szCs w:val="20"/>
        </w:rPr>
        <w:tab/>
      </w:r>
      <w:r w:rsidRPr="00591582">
        <w:rPr>
          <w:sz w:val="22"/>
          <w:szCs w:val="20"/>
        </w:rPr>
        <w:t>koeficient 1,4;</w:t>
      </w:r>
    </w:p>
    <w:p w:rsidR="00591582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Nové Těchanovice</w:t>
      </w:r>
      <w:r w:rsidRPr="00591582">
        <w:rPr>
          <w:sz w:val="22"/>
          <w:szCs w:val="20"/>
        </w:rPr>
        <w:tab/>
        <w:t>koeficient 1,4;</w:t>
      </w:r>
    </w:p>
    <w:p w:rsidR="00591582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Zálužné</w:t>
      </w:r>
      <w:r w:rsidRPr="00591582">
        <w:rPr>
          <w:sz w:val="22"/>
          <w:szCs w:val="20"/>
        </w:rPr>
        <w:tab/>
        <w:t>koeficient 1,4;</w:t>
      </w:r>
    </w:p>
    <w:p w:rsidR="00591582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Lhotka</w:t>
      </w:r>
      <w:r w:rsidRPr="00591582">
        <w:rPr>
          <w:sz w:val="22"/>
          <w:szCs w:val="20"/>
        </w:rPr>
        <w:tab/>
        <w:t>koeficient 1,4;</w:t>
      </w:r>
    </w:p>
    <w:p w:rsidR="00591582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Podhradí</w:t>
      </w:r>
      <w:r w:rsidRPr="00591582">
        <w:rPr>
          <w:sz w:val="22"/>
          <w:szCs w:val="20"/>
        </w:rPr>
        <w:tab/>
        <w:t>koeficient 1,4;</w:t>
      </w:r>
    </w:p>
    <w:p w:rsidR="00591582" w:rsidRPr="0043513E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Prostření dvůr</w:t>
      </w:r>
      <w:r w:rsidRPr="0043513E">
        <w:rPr>
          <w:sz w:val="22"/>
          <w:szCs w:val="20"/>
        </w:rPr>
        <w:tab/>
      </w:r>
      <w:r w:rsidRPr="00591582">
        <w:rPr>
          <w:sz w:val="22"/>
          <w:szCs w:val="20"/>
        </w:rPr>
        <w:t>koeficient 1,4;</w:t>
      </w:r>
    </w:p>
    <w:p w:rsidR="00591582" w:rsidRPr="0043513E" w:rsidRDefault="00591582" w:rsidP="00E35527">
      <w:pPr>
        <w:pStyle w:val="Normlnweb"/>
        <w:numPr>
          <w:ilvl w:val="0"/>
          <w:numId w:val="46"/>
        </w:numPr>
        <w:tabs>
          <w:tab w:val="clear" w:pos="1440"/>
          <w:tab w:val="left" w:pos="720"/>
          <w:tab w:val="right" w:leader="dot" w:pos="9000"/>
        </w:tabs>
        <w:spacing w:before="0" w:beforeAutospacing="0" w:after="120" w:afterAutospacing="0"/>
        <w:ind w:left="714" w:right="1134" w:hanging="357"/>
        <w:jc w:val="both"/>
        <w:rPr>
          <w:sz w:val="22"/>
          <w:szCs w:val="20"/>
        </w:rPr>
      </w:pPr>
      <w:r w:rsidRPr="00591582">
        <w:rPr>
          <w:sz w:val="22"/>
          <w:szCs w:val="20"/>
        </w:rPr>
        <w:lastRenderedPageBreak/>
        <w:t xml:space="preserve">část </w:t>
      </w:r>
      <w:r w:rsidR="00A11256">
        <w:rPr>
          <w:sz w:val="22"/>
          <w:szCs w:val="20"/>
        </w:rPr>
        <w:t xml:space="preserve">města </w:t>
      </w:r>
      <w:r w:rsidRPr="00591582">
        <w:rPr>
          <w:sz w:val="22"/>
          <w:szCs w:val="20"/>
        </w:rPr>
        <w:t>Jelenice</w:t>
      </w:r>
      <w:r w:rsidRPr="0043513E">
        <w:rPr>
          <w:sz w:val="22"/>
          <w:szCs w:val="20"/>
        </w:rPr>
        <w:tab/>
      </w:r>
      <w:r>
        <w:rPr>
          <w:sz w:val="22"/>
          <w:szCs w:val="20"/>
        </w:rPr>
        <w:t>koeficient 1,4.</w:t>
      </w:r>
    </w:p>
    <w:p w:rsidR="00434ED3" w:rsidRDefault="00E35527" w:rsidP="00814696">
      <w:pPr>
        <w:pStyle w:val="Normlnweb"/>
        <w:numPr>
          <w:ilvl w:val="0"/>
          <w:numId w:val="37"/>
        </w:numPr>
        <w:tabs>
          <w:tab w:val="clear" w:pos="720"/>
          <w:tab w:val="left" w:pos="357"/>
        </w:tabs>
        <w:spacing w:before="0" w:beforeAutospacing="0" w:after="600" w:afterAutospacing="0"/>
        <w:ind w:left="357" w:hanging="357"/>
        <w:jc w:val="both"/>
        <w:rPr>
          <w:sz w:val="22"/>
          <w:szCs w:val="20"/>
        </w:rPr>
      </w:pPr>
      <w:r>
        <w:rPr>
          <w:sz w:val="22"/>
          <w:szCs w:val="20"/>
        </w:rPr>
        <w:t>U zdanitelných staveb</w:t>
      </w:r>
      <w:r w:rsidR="00247451">
        <w:rPr>
          <w:sz w:val="22"/>
          <w:szCs w:val="20"/>
        </w:rPr>
        <w:t xml:space="preserve"> a zdanitelných jednotek uvedených v § 11 odst. 1 písm. b) až d) zákona o dani z nemovitých věcí se stanovuje koeficient, kterým se násobí základní sazba daně, případně sazba daně zvýšená podle § 11 odst. 2 z</w:t>
      </w:r>
      <w:r w:rsidR="00C907F2">
        <w:rPr>
          <w:sz w:val="22"/>
          <w:szCs w:val="20"/>
        </w:rPr>
        <w:t>ákona o dani z nemovitých věcí,</w:t>
      </w:r>
      <w:r w:rsidR="00247451">
        <w:rPr>
          <w:sz w:val="22"/>
          <w:szCs w:val="20"/>
        </w:rPr>
        <w:t xml:space="preserve"> ve výši 1,5.</w:t>
      </w:r>
    </w:p>
    <w:p w:rsidR="00EB0E77" w:rsidRPr="00C43A93" w:rsidRDefault="00EB0E77" w:rsidP="00EB0E77">
      <w:pPr>
        <w:jc w:val="center"/>
        <w:rPr>
          <w:b/>
          <w:bCs/>
          <w:sz w:val="22"/>
          <w:szCs w:val="20"/>
        </w:rPr>
      </w:pPr>
      <w:bookmarkStart w:id="0" w:name="_GoBack"/>
      <w:bookmarkEnd w:id="0"/>
      <w:r w:rsidRPr="00C43A93">
        <w:rPr>
          <w:b/>
          <w:bCs/>
          <w:sz w:val="22"/>
          <w:szCs w:val="20"/>
        </w:rPr>
        <w:t xml:space="preserve">Čl. </w:t>
      </w:r>
      <w:r w:rsidR="0063333E">
        <w:rPr>
          <w:b/>
          <w:bCs/>
          <w:sz w:val="22"/>
          <w:szCs w:val="20"/>
        </w:rPr>
        <w:t>3</w:t>
      </w:r>
    </w:p>
    <w:p w:rsidR="00CB1034" w:rsidRDefault="0063333E" w:rsidP="00EB0E77">
      <w:pPr>
        <w:spacing w:after="240"/>
        <w:jc w:val="center"/>
        <w:rPr>
          <w:b/>
          <w:bCs/>
          <w:sz w:val="22"/>
          <w:szCs w:val="20"/>
        </w:rPr>
      </w:pPr>
      <w:r w:rsidRPr="0063333E">
        <w:rPr>
          <w:b/>
          <w:bCs/>
          <w:sz w:val="22"/>
          <w:szCs w:val="20"/>
        </w:rPr>
        <w:t>Místní koeficient</w:t>
      </w:r>
    </w:p>
    <w:p w:rsidR="0063333E" w:rsidRDefault="0063333E" w:rsidP="0063333E">
      <w:pPr>
        <w:spacing w:after="600"/>
        <w:jc w:val="both"/>
        <w:rPr>
          <w:sz w:val="22"/>
        </w:rPr>
      </w:pPr>
      <w:r w:rsidRPr="0063333E">
        <w:rPr>
          <w:sz w:val="22"/>
        </w:rPr>
        <w:t>Mís</w:t>
      </w:r>
      <w:r w:rsidR="00A11256">
        <w:rPr>
          <w:sz w:val="22"/>
        </w:rPr>
        <w:t>tní koeficient se pro části města</w:t>
      </w:r>
      <w:r w:rsidRPr="0063333E">
        <w:rPr>
          <w:sz w:val="22"/>
        </w:rPr>
        <w:t>, které jsou vymezeny v přílohách č.</w:t>
      </w:r>
      <w:r>
        <w:rPr>
          <w:sz w:val="22"/>
        </w:rPr>
        <w:t> </w:t>
      </w:r>
      <w:r w:rsidRPr="0063333E">
        <w:rPr>
          <w:sz w:val="22"/>
        </w:rPr>
        <w:t>1 a č.</w:t>
      </w:r>
      <w:r>
        <w:rPr>
          <w:sz w:val="22"/>
        </w:rPr>
        <w:t> </w:t>
      </w:r>
      <w:r w:rsidRPr="0063333E">
        <w:rPr>
          <w:sz w:val="22"/>
        </w:rPr>
        <w:t>2 této vyhlášky v rozsahu dle parcelních čísel pozemků, stanovuje ve výši 3 a 5, kterými se násobí daň poplatníka za jednotlivé druhy pozemků, zdanitelných staveb nebo zdanitelných jednotek, popřípadě jejich souhrny, s výjimkou pozemků uvedených v §</w:t>
      </w:r>
      <w:r w:rsidR="00D30D9B">
        <w:rPr>
          <w:sz w:val="22"/>
        </w:rPr>
        <w:t> </w:t>
      </w:r>
      <w:r w:rsidRPr="0063333E">
        <w:rPr>
          <w:sz w:val="22"/>
        </w:rPr>
        <w:t>5 odst. 1 zákona o dani z nemovitých věcí.</w:t>
      </w:r>
    </w:p>
    <w:p w:rsidR="008A0C45" w:rsidRPr="00C43A93" w:rsidRDefault="008A0C45" w:rsidP="008A0C45">
      <w:pPr>
        <w:jc w:val="center"/>
        <w:rPr>
          <w:b/>
          <w:bCs/>
          <w:sz w:val="22"/>
          <w:szCs w:val="20"/>
        </w:rPr>
      </w:pPr>
      <w:r w:rsidRPr="00C43A93">
        <w:rPr>
          <w:b/>
          <w:bCs/>
          <w:sz w:val="22"/>
          <w:szCs w:val="20"/>
        </w:rPr>
        <w:t xml:space="preserve">Čl. </w:t>
      </w:r>
      <w:r w:rsidR="0063333E">
        <w:rPr>
          <w:b/>
          <w:bCs/>
          <w:sz w:val="22"/>
          <w:szCs w:val="20"/>
        </w:rPr>
        <w:t>4</w:t>
      </w:r>
    </w:p>
    <w:p w:rsidR="008A0C45" w:rsidRPr="00C43A93" w:rsidRDefault="0063333E" w:rsidP="008A0C45">
      <w:pPr>
        <w:spacing w:after="24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Z</w:t>
      </w:r>
      <w:r w:rsidR="00AB0FD2" w:rsidRPr="00AB0FD2">
        <w:rPr>
          <w:b/>
          <w:bCs/>
          <w:sz w:val="22"/>
          <w:szCs w:val="20"/>
        </w:rPr>
        <w:t>rušovací ustanovení</w:t>
      </w:r>
    </w:p>
    <w:p w:rsidR="0063333E" w:rsidRDefault="0063333E" w:rsidP="0063333E">
      <w:pPr>
        <w:spacing w:after="600"/>
        <w:jc w:val="both"/>
        <w:rPr>
          <w:sz w:val="22"/>
          <w:szCs w:val="20"/>
        </w:rPr>
      </w:pPr>
      <w:r w:rsidRPr="0063333E">
        <w:rPr>
          <w:sz w:val="22"/>
          <w:szCs w:val="20"/>
        </w:rPr>
        <w:t>Zrušuje se obecně závazná vyhláška města Vítkov č.</w:t>
      </w:r>
      <w:r>
        <w:rPr>
          <w:sz w:val="22"/>
          <w:szCs w:val="20"/>
        </w:rPr>
        <w:t> </w:t>
      </w:r>
      <w:r w:rsidRPr="0063333E">
        <w:rPr>
          <w:sz w:val="22"/>
          <w:szCs w:val="20"/>
        </w:rPr>
        <w:t>1/2009,</w:t>
      </w:r>
      <w:r>
        <w:rPr>
          <w:sz w:val="22"/>
          <w:szCs w:val="20"/>
        </w:rPr>
        <w:t xml:space="preserve"> </w:t>
      </w:r>
      <w:r w:rsidRPr="0063333E">
        <w:rPr>
          <w:sz w:val="22"/>
          <w:szCs w:val="20"/>
        </w:rPr>
        <w:t>kterou se stanoví koeficienty pro výpočet daně z nemovitostí, ze dne 24.</w:t>
      </w:r>
      <w:r>
        <w:rPr>
          <w:sz w:val="22"/>
          <w:szCs w:val="20"/>
        </w:rPr>
        <w:t> 0</w:t>
      </w:r>
      <w:r w:rsidRPr="0063333E">
        <w:rPr>
          <w:sz w:val="22"/>
          <w:szCs w:val="20"/>
        </w:rPr>
        <w:t>6.</w:t>
      </w:r>
      <w:r>
        <w:rPr>
          <w:sz w:val="22"/>
          <w:szCs w:val="20"/>
        </w:rPr>
        <w:t> </w:t>
      </w:r>
      <w:r w:rsidRPr="0063333E">
        <w:rPr>
          <w:sz w:val="22"/>
          <w:szCs w:val="20"/>
        </w:rPr>
        <w:t>2009</w:t>
      </w:r>
      <w:r>
        <w:rPr>
          <w:sz w:val="22"/>
          <w:szCs w:val="20"/>
        </w:rPr>
        <w:t>.</w:t>
      </w:r>
    </w:p>
    <w:p w:rsidR="00153301" w:rsidRDefault="00153301" w:rsidP="00153301">
      <w:pPr>
        <w:pStyle w:val="Normlnweb"/>
        <w:spacing w:before="0" w:beforeAutospacing="0" w:after="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 xml:space="preserve">Čl. </w:t>
      </w:r>
      <w:r w:rsidR="0063333E">
        <w:rPr>
          <w:b/>
          <w:bCs/>
          <w:sz w:val="22"/>
          <w:szCs w:val="20"/>
        </w:rPr>
        <w:t>5</w:t>
      </w:r>
    </w:p>
    <w:p w:rsidR="00153301" w:rsidRDefault="00153301" w:rsidP="00153301">
      <w:pPr>
        <w:pStyle w:val="Normlnweb"/>
        <w:spacing w:before="0" w:beforeAutospacing="0" w:after="240" w:afterAutospacing="0"/>
        <w:jc w:val="center"/>
        <w:rPr>
          <w:b/>
          <w:bCs/>
          <w:sz w:val="22"/>
          <w:szCs w:val="20"/>
        </w:rPr>
      </w:pPr>
      <w:r>
        <w:rPr>
          <w:b/>
          <w:bCs/>
          <w:sz w:val="22"/>
          <w:szCs w:val="20"/>
        </w:rPr>
        <w:t>Účinnost</w:t>
      </w:r>
    </w:p>
    <w:p w:rsidR="00153301" w:rsidRPr="0065744E" w:rsidRDefault="00153301" w:rsidP="00153301">
      <w:pPr>
        <w:spacing w:after="1440"/>
        <w:jc w:val="both"/>
        <w:rPr>
          <w:sz w:val="22"/>
        </w:rPr>
      </w:pPr>
      <w:r w:rsidRPr="00EF0EA0">
        <w:rPr>
          <w:sz w:val="22"/>
        </w:rPr>
        <w:t xml:space="preserve">Tato vyhláška nabývá účinnosti dnem 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>
        <w:rPr>
          <w:sz w:val="22"/>
        </w:rPr>
        <w:t>0</w:t>
      </w:r>
      <w:r w:rsidRPr="00EF0EA0">
        <w:rPr>
          <w:sz w:val="22"/>
        </w:rPr>
        <w:t>1.</w:t>
      </w:r>
      <w:r w:rsidR="00C3018E">
        <w:rPr>
          <w:sz w:val="22"/>
        </w:rPr>
        <w:t> </w:t>
      </w:r>
      <w:r w:rsidRPr="00EF0EA0">
        <w:rPr>
          <w:sz w:val="22"/>
        </w:rPr>
        <w:t>2024.</w:t>
      </w:r>
    </w:p>
    <w:p w:rsidR="00153301" w:rsidRPr="0065744E" w:rsidRDefault="00153301" w:rsidP="00153301">
      <w:pPr>
        <w:tabs>
          <w:tab w:val="left" w:pos="6663"/>
        </w:tabs>
        <w:jc w:val="both"/>
        <w:rPr>
          <w:sz w:val="22"/>
        </w:rPr>
      </w:pPr>
      <w:r w:rsidRPr="0065744E">
        <w:rPr>
          <w:sz w:val="22"/>
        </w:rPr>
        <w:t>Mgr. Jakub Cihlář</w:t>
      </w:r>
      <w:r>
        <w:rPr>
          <w:sz w:val="22"/>
        </w:rPr>
        <w:t xml:space="preserve"> v. r.</w:t>
      </w:r>
      <w:r w:rsidRPr="0065744E">
        <w:rPr>
          <w:sz w:val="22"/>
        </w:rPr>
        <w:tab/>
        <w:t>Mgr. Martin Šrubař</w:t>
      </w:r>
      <w:r>
        <w:rPr>
          <w:sz w:val="22"/>
        </w:rPr>
        <w:t xml:space="preserve"> v. r.</w:t>
      </w:r>
    </w:p>
    <w:p w:rsidR="00153301" w:rsidRPr="0065744E" w:rsidRDefault="00153301" w:rsidP="00153301">
      <w:pPr>
        <w:tabs>
          <w:tab w:val="left" w:pos="6663"/>
        </w:tabs>
        <w:spacing w:after="1200"/>
        <w:jc w:val="both"/>
        <w:rPr>
          <w:sz w:val="22"/>
        </w:rPr>
      </w:pPr>
      <w:r w:rsidRPr="0065744E">
        <w:rPr>
          <w:sz w:val="22"/>
        </w:rPr>
        <w:t>starosta města Vítkov</w:t>
      </w:r>
      <w:r w:rsidRPr="0065744E">
        <w:rPr>
          <w:sz w:val="22"/>
        </w:rPr>
        <w:tab/>
      </w:r>
      <w:r>
        <w:rPr>
          <w:sz w:val="22"/>
        </w:rPr>
        <w:t>místo</w:t>
      </w:r>
      <w:r w:rsidRPr="0065744E">
        <w:rPr>
          <w:sz w:val="22"/>
        </w:rPr>
        <w:t>starosta města Vítkov</w:t>
      </w:r>
    </w:p>
    <w:sectPr w:rsidR="00153301" w:rsidRPr="0065744E" w:rsidSect="008D70EC">
      <w:pgSz w:w="11906" w:h="16838" w:code="9"/>
      <w:pgMar w:top="851" w:right="1418" w:bottom="851" w:left="1418" w:header="1134" w:footer="1134" w:gutter="0"/>
      <w:cols w:space="708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BCB" w:rsidRDefault="00E40BCB" w:rsidP="00B77055">
      <w:r>
        <w:separator/>
      </w:r>
    </w:p>
  </w:endnote>
  <w:endnote w:type="continuationSeparator" w:id="0">
    <w:p w:rsidR="00E40BCB" w:rsidRDefault="00E40BCB" w:rsidP="00B77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BCB" w:rsidRDefault="00E40BCB" w:rsidP="00B77055">
      <w:r>
        <w:separator/>
      </w:r>
    </w:p>
  </w:footnote>
  <w:footnote w:type="continuationSeparator" w:id="0">
    <w:p w:rsidR="00E40BCB" w:rsidRDefault="00E40BCB" w:rsidP="00B77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3A7"/>
    <w:multiLevelType w:val="hybridMultilevel"/>
    <w:tmpl w:val="D24088D4"/>
    <w:lvl w:ilvl="0" w:tplc="C6CAC8E6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09C91905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2051EF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50570E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768FD"/>
    <w:multiLevelType w:val="hybridMultilevel"/>
    <w:tmpl w:val="F00CB7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811177"/>
    <w:multiLevelType w:val="hybridMultilevel"/>
    <w:tmpl w:val="5018213A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B673C4"/>
    <w:multiLevelType w:val="hybridMultilevel"/>
    <w:tmpl w:val="D7CA0C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DE1F85"/>
    <w:multiLevelType w:val="hybridMultilevel"/>
    <w:tmpl w:val="D6306C86"/>
    <w:lvl w:ilvl="0" w:tplc="8D486D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C0009"/>
    <w:multiLevelType w:val="hybridMultilevel"/>
    <w:tmpl w:val="22821E24"/>
    <w:lvl w:ilvl="0" w:tplc="E92CCC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9B6A11"/>
    <w:multiLevelType w:val="hybridMultilevel"/>
    <w:tmpl w:val="B7A23636"/>
    <w:lvl w:ilvl="0" w:tplc="399219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86D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392781"/>
    <w:multiLevelType w:val="hybridMultilevel"/>
    <w:tmpl w:val="51EE81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E220B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73BB3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F17210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0FE2"/>
    <w:multiLevelType w:val="hybridMultilevel"/>
    <w:tmpl w:val="0BBC71C6"/>
    <w:lvl w:ilvl="0" w:tplc="0405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2" w15:restartNumberingAfterBreak="0">
    <w:nsid w:val="4FC61801"/>
    <w:multiLevelType w:val="hybridMultilevel"/>
    <w:tmpl w:val="1AA6B5D2"/>
    <w:lvl w:ilvl="0" w:tplc="29F88A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1E464E"/>
    <w:multiLevelType w:val="hybridMultilevel"/>
    <w:tmpl w:val="D7F8F4E2"/>
    <w:lvl w:ilvl="0" w:tplc="607614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3830F5"/>
    <w:multiLevelType w:val="hybridMultilevel"/>
    <w:tmpl w:val="B0A4F16C"/>
    <w:lvl w:ilvl="0" w:tplc="040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5" w15:restartNumberingAfterBreak="0">
    <w:nsid w:val="56D618F5"/>
    <w:multiLevelType w:val="hybridMultilevel"/>
    <w:tmpl w:val="7202311C"/>
    <w:lvl w:ilvl="0" w:tplc="2460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2243D4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DC3411E"/>
    <w:multiLevelType w:val="hybridMultilevel"/>
    <w:tmpl w:val="E0664B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34E66C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D3369C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2E659C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D973D6"/>
    <w:multiLevelType w:val="hybridMultilevel"/>
    <w:tmpl w:val="7202311C"/>
    <w:lvl w:ilvl="0" w:tplc="2460E1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7CA92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EAF36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07CA92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BE32CC1"/>
    <w:multiLevelType w:val="hybridMultilevel"/>
    <w:tmpl w:val="53A681DE"/>
    <w:lvl w:ilvl="0" w:tplc="8D486D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E56E1D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DF3E59"/>
    <w:multiLevelType w:val="hybridMultilevel"/>
    <w:tmpl w:val="D6306C86"/>
    <w:lvl w:ilvl="0" w:tplc="8D486DC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CA78CA"/>
    <w:multiLevelType w:val="hybridMultilevel"/>
    <w:tmpl w:val="84A2C960"/>
    <w:lvl w:ilvl="0" w:tplc="0E2285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3E2F97"/>
    <w:multiLevelType w:val="hybridMultilevel"/>
    <w:tmpl w:val="2E26B046"/>
    <w:lvl w:ilvl="0" w:tplc="D6A40DA8">
      <w:numFmt w:val="bullet"/>
      <w:lvlText w:val="-"/>
      <w:lvlJc w:val="left"/>
      <w:pPr>
        <w:tabs>
          <w:tab w:val="num" w:pos="390"/>
        </w:tabs>
        <w:ind w:left="3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39" w15:restartNumberingAfterBreak="0">
    <w:nsid w:val="7BCB7080"/>
    <w:multiLevelType w:val="hybridMultilevel"/>
    <w:tmpl w:val="03CE79C4"/>
    <w:lvl w:ilvl="0" w:tplc="0540E55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D7710C2"/>
    <w:multiLevelType w:val="hybridMultilevel"/>
    <w:tmpl w:val="2ECED946"/>
    <w:lvl w:ilvl="0" w:tplc="F21A7D3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8"/>
  </w:num>
  <w:num w:numId="3">
    <w:abstractNumId w:val="29"/>
  </w:num>
  <w:num w:numId="4">
    <w:abstractNumId w:val="16"/>
  </w:num>
  <w:num w:numId="5">
    <w:abstractNumId w:val="7"/>
  </w:num>
  <w:num w:numId="6">
    <w:abstractNumId w:val="9"/>
  </w:num>
  <w:num w:numId="7">
    <w:abstractNumId w:val="23"/>
  </w:num>
  <w:num w:numId="8">
    <w:abstractNumId w:val="13"/>
  </w:num>
  <w:num w:numId="9">
    <w:abstractNumId w:val="24"/>
  </w:num>
  <w:num w:numId="10">
    <w:abstractNumId w:val="21"/>
  </w:num>
  <w:num w:numId="11">
    <w:abstractNumId w:val="3"/>
  </w:num>
  <w:num w:numId="12">
    <w:abstractNumId w:val="14"/>
  </w:num>
  <w:num w:numId="13">
    <w:abstractNumId w:val="4"/>
  </w:num>
  <w:num w:numId="14">
    <w:abstractNumId w:val="36"/>
  </w:num>
  <w:num w:numId="15">
    <w:abstractNumId w:val="41"/>
  </w:num>
  <w:num w:numId="16">
    <w:abstractNumId w:val="2"/>
  </w:num>
  <w:num w:numId="17">
    <w:abstractNumId w:val="3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2"/>
  </w:num>
  <w:num w:numId="24">
    <w:abstractNumId w:val="6"/>
  </w:num>
  <w:num w:numId="25">
    <w:abstractNumId w:val="26"/>
  </w:num>
  <w:num w:numId="26">
    <w:abstractNumId w:val="5"/>
  </w:num>
  <w:num w:numId="27">
    <w:abstractNumId w:val="28"/>
  </w:num>
  <w:num w:numId="28">
    <w:abstractNumId w:val="0"/>
  </w:num>
  <w:num w:numId="29">
    <w:abstractNumId w:val="15"/>
  </w:num>
  <w:num w:numId="30">
    <w:abstractNumId w:val="19"/>
  </w:num>
  <w:num w:numId="31">
    <w:abstractNumId w:val="31"/>
  </w:num>
  <w:num w:numId="32">
    <w:abstractNumId w:val="11"/>
  </w:num>
  <w:num w:numId="33">
    <w:abstractNumId w:val="40"/>
  </w:num>
  <w:num w:numId="34">
    <w:abstractNumId w:val="37"/>
  </w:num>
  <w:num w:numId="35">
    <w:abstractNumId w:val="18"/>
  </w:num>
  <w:num w:numId="36">
    <w:abstractNumId w:val="32"/>
  </w:num>
  <w:num w:numId="37">
    <w:abstractNumId w:val="34"/>
  </w:num>
  <w:num w:numId="38">
    <w:abstractNumId w:val="12"/>
  </w:num>
  <w:num w:numId="39">
    <w:abstractNumId w:val="17"/>
  </w:num>
  <w:num w:numId="40">
    <w:abstractNumId w:val="20"/>
  </w:num>
  <w:num w:numId="41">
    <w:abstractNumId w:val="25"/>
  </w:num>
  <w:num w:numId="42">
    <w:abstractNumId w:val="30"/>
  </w:num>
  <w:num w:numId="43">
    <w:abstractNumId w:val="27"/>
  </w:num>
  <w:num w:numId="44">
    <w:abstractNumId w:val="10"/>
  </w:num>
  <w:num w:numId="45">
    <w:abstractNumId w:val="35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A93"/>
    <w:rsid w:val="0000064B"/>
    <w:rsid w:val="00001D83"/>
    <w:rsid w:val="00014074"/>
    <w:rsid w:val="000402CC"/>
    <w:rsid w:val="000440AE"/>
    <w:rsid w:val="00071834"/>
    <w:rsid w:val="00074B55"/>
    <w:rsid w:val="000930A3"/>
    <w:rsid w:val="000A7CD7"/>
    <w:rsid w:val="000B03D5"/>
    <w:rsid w:val="000C0026"/>
    <w:rsid w:val="000E763D"/>
    <w:rsid w:val="000F186C"/>
    <w:rsid w:val="000F438E"/>
    <w:rsid w:val="001000B5"/>
    <w:rsid w:val="001031E7"/>
    <w:rsid w:val="001102BE"/>
    <w:rsid w:val="00130AA9"/>
    <w:rsid w:val="001348EE"/>
    <w:rsid w:val="00153301"/>
    <w:rsid w:val="00162D1B"/>
    <w:rsid w:val="00167080"/>
    <w:rsid w:val="00167129"/>
    <w:rsid w:val="00187CC6"/>
    <w:rsid w:val="00197813"/>
    <w:rsid w:val="001A7314"/>
    <w:rsid w:val="001B088C"/>
    <w:rsid w:val="001B4ED7"/>
    <w:rsid w:val="001D1027"/>
    <w:rsid w:val="001D5231"/>
    <w:rsid w:val="001E7FD1"/>
    <w:rsid w:val="002078C2"/>
    <w:rsid w:val="00222099"/>
    <w:rsid w:val="002255F1"/>
    <w:rsid w:val="00247451"/>
    <w:rsid w:val="002626C9"/>
    <w:rsid w:val="00287D21"/>
    <w:rsid w:val="00297F2E"/>
    <w:rsid w:val="002A0E19"/>
    <w:rsid w:val="002A2EBC"/>
    <w:rsid w:val="002A4167"/>
    <w:rsid w:val="002A664A"/>
    <w:rsid w:val="002C2640"/>
    <w:rsid w:val="002D62FD"/>
    <w:rsid w:val="00331CDC"/>
    <w:rsid w:val="00336533"/>
    <w:rsid w:val="00340317"/>
    <w:rsid w:val="00344876"/>
    <w:rsid w:val="00345DB3"/>
    <w:rsid w:val="00353B9E"/>
    <w:rsid w:val="003571F0"/>
    <w:rsid w:val="00383297"/>
    <w:rsid w:val="0038647E"/>
    <w:rsid w:val="00395F01"/>
    <w:rsid w:val="003F142C"/>
    <w:rsid w:val="0041396F"/>
    <w:rsid w:val="00421784"/>
    <w:rsid w:val="00434ED3"/>
    <w:rsid w:val="00436AB0"/>
    <w:rsid w:val="00436FAA"/>
    <w:rsid w:val="0046245E"/>
    <w:rsid w:val="00476D94"/>
    <w:rsid w:val="0048310D"/>
    <w:rsid w:val="0049073E"/>
    <w:rsid w:val="0049283C"/>
    <w:rsid w:val="0049570C"/>
    <w:rsid w:val="00496D2C"/>
    <w:rsid w:val="004D5959"/>
    <w:rsid w:val="004E0FF3"/>
    <w:rsid w:val="00504948"/>
    <w:rsid w:val="00510818"/>
    <w:rsid w:val="00550269"/>
    <w:rsid w:val="00572EA2"/>
    <w:rsid w:val="005775C4"/>
    <w:rsid w:val="005815F9"/>
    <w:rsid w:val="00591582"/>
    <w:rsid w:val="005A7AED"/>
    <w:rsid w:val="005B2E46"/>
    <w:rsid w:val="005B5FBD"/>
    <w:rsid w:val="005B65B9"/>
    <w:rsid w:val="005C26CC"/>
    <w:rsid w:val="005E42FA"/>
    <w:rsid w:val="00604424"/>
    <w:rsid w:val="00633115"/>
    <w:rsid w:val="0063333E"/>
    <w:rsid w:val="00660DC6"/>
    <w:rsid w:val="00673157"/>
    <w:rsid w:val="0067427E"/>
    <w:rsid w:val="00681A84"/>
    <w:rsid w:val="006A0A86"/>
    <w:rsid w:val="006B1610"/>
    <w:rsid w:val="006B41A7"/>
    <w:rsid w:val="006F0400"/>
    <w:rsid w:val="006F4055"/>
    <w:rsid w:val="006F76A3"/>
    <w:rsid w:val="007052FA"/>
    <w:rsid w:val="007222EB"/>
    <w:rsid w:val="00724197"/>
    <w:rsid w:val="0073669C"/>
    <w:rsid w:val="007425B9"/>
    <w:rsid w:val="00773049"/>
    <w:rsid w:val="00773A1C"/>
    <w:rsid w:val="007774A9"/>
    <w:rsid w:val="0079154A"/>
    <w:rsid w:val="007967A3"/>
    <w:rsid w:val="007B5B80"/>
    <w:rsid w:val="007B7A6C"/>
    <w:rsid w:val="007C020E"/>
    <w:rsid w:val="007F308B"/>
    <w:rsid w:val="007F59D3"/>
    <w:rsid w:val="00814696"/>
    <w:rsid w:val="0081626C"/>
    <w:rsid w:val="008175DB"/>
    <w:rsid w:val="00824A4B"/>
    <w:rsid w:val="00827211"/>
    <w:rsid w:val="0083334A"/>
    <w:rsid w:val="00833406"/>
    <w:rsid w:val="008343AA"/>
    <w:rsid w:val="008348AF"/>
    <w:rsid w:val="00843E92"/>
    <w:rsid w:val="00862D48"/>
    <w:rsid w:val="00863B35"/>
    <w:rsid w:val="008728F8"/>
    <w:rsid w:val="00883B08"/>
    <w:rsid w:val="00886730"/>
    <w:rsid w:val="00890260"/>
    <w:rsid w:val="008919E1"/>
    <w:rsid w:val="008A0C45"/>
    <w:rsid w:val="008D21CA"/>
    <w:rsid w:val="008D70EC"/>
    <w:rsid w:val="00900AEA"/>
    <w:rsid w:val="00922B04"/>
    <w:rsid w:val="00933396"/>
    <w:rsid w:val="00956E00"/>
    <w:rsid w:val="00970225"/>
    <w:rsid w:val="009B2964"/>
    <w:rsid w:val="009C04BE"/>
    <w:rsid w:val="009F6024"/>
    <w:rsid w:val="00A11256"/>
    <w:rsid w:val="00A163F9"/>
    <w:rsid w:val="00A21497"/>
    <w:rsid w:val="00A21CBD"/>
    <w:rsid w:val="00A27CD1"/>
    <w:rsid w:val="00A34E57"/>
    <w:rsid w:val="00A44F5C"/>
    <w:rsid w:val="00A47A46"/>
    <w:rsid w:val="00A5299D"/>
    <w:rsid w:val="00A550E1"/>
    <w:rsid w:val="00A57083"/>
    <w:rsid w:val="00A76205"/>
    <w:rsid w:val="00A82E57"/>
    <w:rsid w:val="00A8353B"/>
    <w:rsid w:val="00AA2662"/>
    <w:rsid w:val="00AA4EF8"/>
    <w:rsid w:val="00AB0FD2"/>
    <w:rsid w:val="00AB5D7D"/>
    <w:rsid w:val="00AD0FDC"/>
    <w:rsid w:val="00AD414A"/>
    <w:rsid w:val="00AD4C03"/>
    <w:rsid w:val="00AD592A"/>
    <w:rsid w:val="00AE484A"/>
    <w:rsid w:val="00AF028F"/>
    <w:rsid w:val="00B11FA5"/>
    <w:rsid w:val="00B2389E"/>
    <w:rsid w:val="00B63F74"/>
    <w:rsid w:val="00B76EAF"/>
    <w:rsid w:val="00B77055"/>
    <w:rsid w:val="00BB0993"/>
    <w:rsid w:val="00BC4AAF"/>
    <w:rsid w:val="00BD7371"/>
    <w:rsid w:val="00BE52CD"/>
    <w:rsid w:val="00BF415C"/>
    <w:rsid w:val="00C049C9"/>
    <w:rsid w:val="00C04F52"/>
    <w:rsid w:val="00C11C7C"/>
    <w:rsid w:val="00C3018E"/>
    <w:rsid w:val="00C37EDF"/>
    <w:rsid w:val="00C43A93"/>
    <w:rsid w:val="00C464A2"/>
    <w:rsid w:val="00C7296C"/>
    <w:rsid w:val="00C907F2"/>
    <w:rsid w:val="00C93FC9"/>
    <w:rsid w:val="00CB1034"/>
    <w:rsid w:val="00CB3044"/>
    <w:rsid w:val="00CD2582"/>
    <w:rsid w:val="00CE7226"/>
    <w:rsid w:val="00CF140D"/>
    <w:rsid w:val="00D0376F"/>
    <w:rsid w:val="00D05A32"/>
    <w:rsid w:val="00D1539E"/>
    <w:rsid w:val="00D307E7"/>
    <w:rsid w:val="00D30D9B"/>
    <w:rsid w:val="00D346F8"/>
    <w:rsid w:val="00D34EB3"/>
    <w:rsid w:val="00D55836"/>
    <w:rsid w:val="00D6063D"/>
    <w:rsid w:val="00D8006B"/>
    <w:rsid w:val="00D819E4"/>
    <w:rsid w:val="00D939AC"/>
    <w:rsid w:val="00DA5AB3"/>
    <w:rsid w:val="00DA7681"/>
    <w:rsid w:val="00DB0AB9"/>
    <w:rsid w:val="00DD01B9"/>
    <w:rsid w:val="00DD7BF2"/>
    <w:rsid w:val="00DE54C3"/>
    <w:rsid w:val="00E31F7C"/>
    <w:rsid w:val="00E34D3E"/>
    <w:rsid w:val="00E35527"/>
    <w:rsid w:val="00E40BCB"/>
    <w:rsid w:val="00E461BD"/>
    <w:rsid w:val="00E535F0"/>
    <w:rsid w:val="00E85619"/>
    <w:rsid w:val="00EA7596"/>
    <w:rsid w:val="00EB0E77"/>
    <w:rsid w:val="00EB7E0A"/>
    <w:rsid w:val="00EC4087"/>
    <w:rsid w:val="00F00D63"/>
    <w:rsid w:val="00F15137"/>
    <w:rsid w:val="00F15E6C"/>
    <w:rsid w:val="00F168E2"/>
    <w:rsid w:val="00F17CF2"/>
    <w:rsid w:val="00F2308F"/>
    <w:rsid w:val="00F236AD"/>
    <w:rsid w:val="00F51824"/>
    <w:rsid w:val="00F7205C"/>
    <w:rsid w:val="00F77FAF"/>
    <w:rsid w:val="00F80AC0"/>
    <w:rsid w:val="00F81FD9"/>
    <w:rsid w:val="00F868B0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E25D78-C613-4FF2-A337-36F5AA44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43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pPr>
      <w:widowControl w:val="0"/>
      <w:spacing w:line="288" w:lineRule="auto"/>
    </w:pPr>
    <w:rPr>
      <w:szCs w:val="20"/>
    </w:rPr>
  </w:style>
  <w:style w:type="paragraph" w:customStyle="1" w:styleId="Import0">
    <w:name w:val="Import 0"/>
    <w:basedOn w:val="Normln"/>
    <w:pPr>
      <w:widowControl w:val="0"/>
      <w:spacing w:line="288" w:lineRule="auto"/>
    </w:pPr>
    <w:rPr>
      <w:rFonts w:ascii="Courier New" w:hAnsi="Courier New"/>
      <w:noProof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Normlnweb">
    <w:name w:val="Normal (Web)"/>
    <w:basedOn w:val="Normln"/>
    <w:pPr>
      <w:spacing w:before="100" w:beforeAutospacing="1" w:after="100" w:afterAutospacing="1"/>
    </w:pPr>
  </w:style>
  <w:style w:type="paragraph" w:styleId="Zkladntextodsazen">
    <w:name w:val="Body Text Indent"/>
    <w:basedOn w:val="Normln"/>
    <w:semiHidden/>
    <w:pPr>
      <w:ind w:left="360" w:firstLine="360"/>
    </w:pPr>
  </w:style>
  <w:style w:type="character" w:customStyle="1" w:styleId="Nadpis1Char">
    <w:name w:val="Nadpis 1 Char"/>
    <w:link w:val="Nadpis1"/>
    <w:uiPriority w:val="9"/>
    <w:rsid w:val="00C43A9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ZkladntextChar">
    <w:name w:val="Základní text Char"/>
    <w:link w:val="Zkladntext"/>
    <w:semiHidden/>
    <w:rsid w:val="00336533"/>
    <w:rPr>
      <w:sz w:val="24"/>
    </w:rPr>
  </w:style>
  <w:style w:type="paragraph" w:styleId="Textpoznpodarou">
    <w:name w:val="footnote text"/>
    <w:basedOn w:val="Normln"/>
    <w:link w:val="TextpoznpodarouChar"/>
    <w:unhideWhenUsed/>
    <w:rsid w:val="00B770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77055"/>
  </w:style>
  <w:style w:type="character" w:styleId="Znakapoznpodarou">
    <w:name w:val="footnote reference"/>
    <w:unhideWhenUsed/>
    <w:rsid w:val="00B7705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04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040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99"/>
    <w:qFormat/>
    <w:rsid w:val="00C93F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EB0E7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1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390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</vt:lpstr>
    </vt:vector>
  </TitlesOfParts>
  <Company>MĚSTO VÍTKOV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mickovas</dc:creator>
  <cp:keywords/>
  <cp:lastModifiedBy>Bensch</cp:lastModifiedBy>
  <cp:revision>26</cp:revision>
  <cp:lastPrinted>2023-08-28T13:49:00Z</cp:lastPrinted>
  <dcterms:created xsi:type="dcterms:W3CDTF">2023-09-06T09:19:00Z</dcterms:created>
  <dcterms:modified xsi:type="dcterms:W3CDTF">2023-09-20T15:43:00Z</dcterms:modified>
</cp:coreProperties>
</file>