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34CD" w14:textId="77777777" w:rsidR="00000000" w:rsidRDefault="00183B9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202672D" w14:textId="77777777" w:rsidR="00000000" w:rsidRDefault="00183B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DOLANY</w:t>
      </w:r>
    </w:p>
    <w:p w14:paraId="213D06DC" w14:textId="77777777" w:rsidR="00000000" w:rsidRDefault="00183B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Dolany</w:t>
      </w:r>
    </w:p>
    <w:p w14:paraId="3D3CF3C6" w14:textId="77777777" w:rsidR="00000000" w:rsidRDefault="00183B92">
      <w:pPr>
        <w:spacing w:line="276" w:lineRule="auto"/>
        <w:jc w:val="center"/>
        <w:rPr>
          <w:rFonts w:ascii="Arial" w:hAnsi="Arial" w:cs="Arial"/>
          <w:b/>
        </w:rPr>
      </w:pPr>
    </w:p>
    <w:p w14:paraId="6660C234" w14:textId="77777777" w:rsidR="00000000" w:rsidRDefault="00183B92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</w:rPr>
        <w:t>Obecně závazná vyhláška obce Dolany</w:t>
      </w:r>
    </w:p>
    <w:p w14:paraId="2907257A" w14:textId="77777777" w:rsidR="00000000" w:rsidRDefault="00183B9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3571F8" w14:textId="77777777" w:rsidR="00000000" w:rsidRDefault="00183B92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2761F6DC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74481F80" w14:textId="77777777" w:rsidR="00000000" w:rsidRDefault="00183B92">
      <w:pPr>
        <w:pStyle w:val="Zkladntextodsazen21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Dolany se na svém zasedání dne 8.12.2022 usnesením č. 3 usneslo vydat na základě § 59 odst. 4 zákona č.</w:t>
      </w:r>
      <w:r>
        <w:rPr>
          <w:rFonts w:ascii="Arial" w:hAnsi="Arial" w:cs="Arial"/>
          <w:sz w:val="22"/>
          <w:szCs w:val="22"/>
        </w:rPr>
        <w:t xml:space="preserve">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0DED5994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</w:p>
    <w:p w14:paraId="659241C7" w14:textId="77777777" w:rsidR="00000000" w:rsidRDefault="00183B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6F26648" w14:textId="77777777" w:rsidR="00000000" w:rsidRDefault="00183B92">
      <w:pPr>
        <w:pStyle w:val="Nadpis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</w:t>
      </w:r>
      <w:r>
        <w:rPr>
          <w:rFonts w:ascii="Arial" w:hAnsi="Arial" w:cs="Arial"/>
          <w:b/>
          <w:bCs/>
          <w:sz w:val="22"/>
          <w:szCs w:val="22"/>
          <w:u w:val="none"/>
        </w:rPr>
        <w:t>ní ustanovení</w:t>
      </w:r>
    </w:p>
    <w:p w14:paraId="0C4A9CB8" w14:textId="77777777" w:rsidR="00000000" w:rsidRDefault="00183B9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6AFA0A" w14:textId="77777777" w:rsidR="00000000" w:rsidRDefault="00183B92">
      <w:pPr>
        <w:numPr>
          <w:ilvl w:val="0"/>
          <w:numId w:val="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Dolany.</w:t>
      </w:r>
    </w:p>
    <w:p w14:paraId="14071825" w14:textId="77777777" w:rsidR="00000000" w:rsidRDefault="00183B9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F35F3FE" w14:textId="77777777" w:rsidR="00000000" w:rsidRDefault="00183B92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</w:t>
      </w:r>
      <w:r>
        <w:rPr>
          <w:rFonts w:ascii="Arial" w:hAnsi="Arial" w:cs="Arial"/>
          <w:sz w:val="22"/>
          <w:szCs w:val="22"/>
        </w:rPr>
        <w:t>h, kategorii nebo materiál odpadu nebo movitých věcí zákonem o odpadech a touto vyhláškou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3DE4C17" w14:textId="77777777" w:rsidR="00000000" w:rsidRDefault="00183B92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219C8BB" w14:textId="77777777" w:rsidR="00000000" w:rsidRDefault="00183B92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</w:t>
      </w:r>
      <w:r>
        <w:rPr>
          <w:rFonts w:ascii="Arial" w:hAnsi="Arial" w:cs="Arial"/>
          <w:sz w:val="22"/>
          <w:szCs w:val="22"/>
        </w:rPr>
        <w:t>m, stává se obec vlastníkem této movité věci nebo odpadu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2364E27" w14:textId="77777777" w:rsidR="00000000" w:rsidRDefault="00183B92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68610C0E" w14:textId="77777777" w:rsidR="00000000" w:rsidRDefault="00183B92">
      <w:pPr>
        <w:numPr>
          <w:ilvl w:val="0"/>
          <w:numId w:val="4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</w:t>
      </w:r>
      <w:r>
        <w:rPr>
          <w:rFonts w:ascii="Arial" w:hAnsi="Arial" w:cs="Arial"/>
          <w:sz w:val="22"/>
          <w:szCs w:val="22"/>
        </w:rPr>
        <w:t>ečná pro více uživatelů.</w:t>
      </w:r>
    </w:p>
    <w:p w14:paraId="6E18566A" w14:textId="77777777" w:rsidR="00000000" w:rsidRDefault="00183B92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6B81ED6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</w:p>
    <w:p w14:paraId="5083DB2C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D7C023F" w14:textId="77777777" w:rsidR="00000000" w:rsidRDefault="00183B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6F0DDE" w14:textId="77777777" w:rsidR="00000000" w:rsidRDefault="00183B92">
      <w:pPr>
        <w:jc w:val="center"/>
        <w:rPr>
          <w:rFonts w:ascii="Arial" w:hAnsi="Arial" w:cs="Arial"/>
          <w:sz w:val="22"/>
          <w:szCs w:val="22"/>
        </w:rPr>
      </w:pPr>
    </w:p>
    <w:p w14:paraId="4473D58A" w14:textId="77777777" w:rsidR="00000000" w:rsidRDefault="00183B92">
      <w:pPr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AD3EB72" w14:textId="77777777" w:rsidR="00000000" w:rsidRDefault="00183B92">
      <w:pPr>
        <w:rPr>
          <w:rFonts w:ascii="Arial" w:hAnsi="Arial" w:cs="Arial"/>
          <w:i/>
          <w:iCs/>
          <w:sz w:val="22"/>
          <w:szCs w:val="22"/>
        </w:rPr>
      </w:pPr>
    </w:p>
    <w:p w14:paraId="1EFC45DD" w14:textId="77777777" w:rsidR="00000000" w:rsidRDefault="00183B92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4F10F3C5" w14:textId="77777777" w:rsidR="00000000" w:rsidRDefault="00183B92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 a nápojových kartonů (dále jen „plast</w:t>
      </w:r>
      <w:r>
        <w:rPr>
          <w:rFonts w:ascii="Arial" w:hAnsi="Arial" w:cs="Arial"/>
          <w:bCs/>
          <w:iCs/>
          <w:color w:val="000000"/>
        </w:rPr>
        <w:t>y“)</w:t>
      </w:r>
    </w:p>
    <w:p w14:paraId="5864A727" w14:textId="77777777" w:rsidR="00000000" w:rsidRDefault="00183B92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Sklo,</w:t>
      </w:r>
    </w:p>
    <w:p w14:paraId="286D7429" w14:textId="77777777" w:rsidR="00000000" w:rsidRDefault="00183B92">
      <w:pPr>
        <w:pStyle w:val="Odstavecseseznamem"/>
        <w:numPr>
          <w:ilvl w:val="0"/>
          <w:numId w:val="8"/>
        </w:numPr>
        <w:autoSpaceDE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0A0E1F71" w14:textId="77777777" w:rsidR="00000000" w:rsidRDefault="00183B92">
      <w:pPr>
        <w:numPr>
          <w:ilvl w:val="0"/>
          <w:numId w:val="8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5AD8DDA8" w14:textId="77777777" w:rsidR="00000000" w:rsidRDefault="00183B92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CBC6B4B" w14:textId="77777777" w:rsidR="00000000" w:rsidRDefault="00183B92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736D0059" w14:textId="77777777" w:rsidR="00000000" w:rsidRDefault="00183B92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7B349F2" w14:textId="77777777" w:rsidR="00000000" w:rsidRDefault="00183B92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odpad.</w:t>
      </w:r>
    </w:p>
    <w:p w14:paraId="7428AD3D" w14:textId="77777777" w:rsidR="00000000" w:rsidRDefault="00183B92">
      <w:pPr>
        <w:rPr>
          <w:rFonts w:ascii="Arial" w:hAnsi="Arial" w:cs="Arial"/>
          <w:i/>
          <w:sz w:val="22"/>
          <w:szCs w:val="22"/>
        </w:rPr>
      </w:pPr>
    </w:p>
    <w:p w14:paraId="578B05AE" w14:textId="77777777" w:rsidR="00000000" w:rsidRDefault="00183B92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h). </w:t>
      </w:r>
    </w:p>
    <w:p w14:paraId="0B65BC41" w14:textId="77777777" w:rsidR="00000000" w:rsidRDefault="00183B9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F3CD7F" w14:textId="77777777" w:rsidR="00000000" w:rsidRDefault="00183B92">
      <w:pPr>
        <w:pStyle w:val="Zkladntextodsazen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</w:t>
      </w:r>
      <w:r>
        <w:rPr>
          <w:rFonts w:ascii="Arial" w:hAnsi="Arial" w:cs="Arial"/>
          <w:sz w:val="22"/>
          <w:szCs w:val="22"/>
        </w:rPr>
        <w:t xml:space="preserve"> je takový odpad, který vzhledem ke svým rozměrům nemůže být umístěn do sběrných nádob (</w:t>
      </w:r>
      <w:r>
        <w:rPr>
          <w:rFonts w:ascii="Arial" w:hAnsi="Arial" w:cs="Arial"/>
          <w:i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1C1F70B5" w14:textId="77777777" w:rsidR="00000000" w:rsidRDefault="00183B9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3394FC" w14:textId="77777777" w:rsidR="00000000" w:rsidRDefault="00183B9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E78175" w14:textId="77777777" w:rsidR="00000000" w:rsidRDefault="00183B9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5E2D5C" w14:textId="77777777" w:rsidR="00000000" w:rsidRDefault="00183B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1FF03AF" w14:textId="77777777" w:rsidR="00000000" w:rsidRDefault="00183B92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jedlých olejů a tuků, textilu</w:t>
      </w:r>
    </w:p>
    <w:p w14:paraId="2F3CFB36" w14:textId="77777777" w:rsidR="00000000" w:rsidRDefault="00183B92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7E07A8" w14:textId="77777777" w:rsidR="00000000" w:rsidRDefault="00183B92">
      <w:pPr>
        <w:numPr>
          <w:ilvl w:val="0"/>
          <w:numId w:val="9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jedlé oleje a tuky, texti</w:t>
      </w:r>
      <w:r>
        <w:rPr>
          <w:rFonts w:ascii="Arial" w:hAnsi="Arial" w:cs="Arial"/>
          <w:sz w:val="22"/>
          <w:szCs w:val="22"/>
        </w:rPr>
        <w:t xml:space="preserve">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popelnice, kontejnery, velkoobjemové kontejnery. </w:t>
      </w:r>
    </w:p>
    <w:p w14:paraId="6AF89BFC" w14:textId="77777777" w:rsidR="00000000" w:rsidRDefault="00183B92">
      <w:pPr>
        <w:tabs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84F839" w14:textId="77777777" w:rsidR="00000000" w:rsidRDefault="00183B92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stanovištích zvláštních sběrných nádob. </w:t>
      </w:r>
    </w:p>
    <w:p w14:paraId="2E338F48" w14:textId="77777777" w:rsidR="00000000" w:rsidRDefault="00183B92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Dolany – autobusová zastávka na návsi, u hasičárny, u koupaliště</w:t>
      </w:r>
    </w:p>
    <w:p w14:paraId="0B0C7834" w14:textId="77777777" w:rsidR="00000000" w:rsidRDefault="00183B92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Svrčovec</w:t>
      </w:r>
      <w:proofErr w:type="spellEnd"/>
      <w:r>
        <w:rPr>
          <w:rFonts w:ascii="Arial" w:hAnsi="Arial" w:cs="Arial"/>
          <w:sz w:val="22"/>
          <w:szCs w:val="22"/>
        </w:rPr>
        <w:t xml:space="preserve"> – náves, Malá Strana </w:t>
      </w:r>
    </w:p>
    <w:p w14:paraId="786C1B75" w14:textId="77777777" w:rsidR="00000000" w:rsidRDefault="00183B92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obcích </w:t>
      </w:r>
      <w:proofErr w:type="spellStart"/>
      <w:r>
        <w:rPr>
          <w:rFonts w:ascii="Arial" w:hAnsi="Arial" w:cs="Arial"/>
          <w:sz w:val="22"/>
          <w:szCs w:val="22"/>
        </w:rPr>
        <w:t>Malechov</w:t>
      </w:r>
      <w:proofErr w:type="spellEnd"/>
      <w:r>
        <w:rPr>
          <w:rFonts w:ascii="Arial" w:hAnsi="Arial" w:cs="Arial"/>
          <w:sz w:val="22"/>
          <w:szCs w:val="22"/>
        </w:rPr>
        <w:t xml:space="preserve">, Výrov, Balkovy, </w:t>
      </w:r>
      <w:proofErr w:type="spellStart"/>
      <w:r>
        <w:rPr>
          <w:rFonts w:ascii="Arial" w:hAnsi="Arial" w:cs="Arial"/>
          <w:sz w:val="22"/>
          <w:szCs w:val="22"/>
        </w:rPr>
        <w:t>Sekrýt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Řakom</w:t>
      </w:r>
      <w:proofErr w:type="spellEnd"/>
      <w:r>
        <w:rPr>
          <w:rFonts w:ascii="Arial" w:hAnsi="Arial" w:cs="Arial"/>
          <w:sz w:val="22"/>
          <w:szCs w:val="22"/>
        </w:rPr>
        <w:t xml:space="preserve">, Andělice na návsi. </w:t>
      </w:r>
    </w:p>
    <w:p w14:paraId="66665D06" w14:textId="77777777" w:rsidR="00000000" w:rsidRDefault="00183B92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se ukládají v areálu kompostárny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663/9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Dolan u Klatov ve stanovené provozní době. </w:t>
      </w:r>
    </w:p>
    <w:p w14:paraId="000BA366" w14:textId="77777777" w:rsidR="00000000" w:rsidRDefault="00183B92">
      <w:pPr>
        <w:pStyle w:val="NormlnIMP"/>
        <w:tabs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98828F7" w14:textId="77777777" w:rsidR="00000000" w:rsidRDefault="00183B92">
      <w:pPr>
        <w:pStyle w:val="NormlnIMP"/>
        <w:numPr>
          <w:ilvl w:val="0"/>
          <w:numId w:val="9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</w:t>
      </w:r>
      <w:r>
        <w:rPr>
          <w:rFonts w:ascii="Arial" w:hAnsi="Arial" w:cs="Arial"/>
          <w:sz w:val="22"/>
          <w:szCs w:val="22"/>
        </w:rPr>
        <w:t>u barevně odlišeny a označeny příslušnými nápisy:</w:t>
      </w:r>
    </w:p>
    <w:p w14:paraId="57986C50" w14:textId="77777777" w:rsidR="00000000" w:rsidRDefault="00183B92">
      <w:pPr>
        <w:pStyle w:val="NormlnIMP"/>
        <w:tabs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531"/>
        <w:gridCol w:w="1721"/>
        <w:gridCol w:w="4642"/>
      </w:tblGrid>
      <w:tr w:rsidR="00000000" w14:paraId="4CA9B501" w14:textId="77777777">
        <w:tc>
          <w:tcPr>
            <w:tcW w:w="2531" w:type="dxa"/>
            <w:tcBorders>
              <w:bottom w:val="single" w:sz="4" w:space="0" w:color="000000"/>
            </w:tcBorders>
            <w:shd w:val="clear" w:color="auto" w:fill="auto"/>
          </w:tcPr>
          <w:p w14:paraId="0D8025B6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Složka odpadu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  <w:shd w:val="clear" w:color="auto" w:fill="auto"/>
          </w:tcPr>
          <w:p w14:paraId="08337922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Barva nádoby</w:t>
            </w:r>
          </w:p>
        </w:tc>
        <w:tc>
          <w:tcPr>
            <w:tcW w:w="4642" w:type="dxa"/>
            <w:tcBorders>
              <w:bottom w:val="single" w:sz="4" w:space="0" w:color="000000"/>
            </w:tcBorders>
            <w:shd w:val="clear" w:color="auto" w:fill="auto"/>
          </w:tcPr>
          <w:p w14:paraId="39BAC1CD" w14:textId="77777777" w:rsidR="00000000" w:rsidRDefault="00183B92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Ostatní rozlišení</w:t>
            </w:r>
          </w:p>
        </w:tc>
      </w:tr>
      <w:tr w:rsidR="00000000" w14:paraId="69EDDEF4" w14:textId="77777777"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591D7E8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papír 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6714B260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modrá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200BF793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zvon o objemu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1500 – 3200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l, </w:t>
            </w:r>
          </w:p>
          <w:p w14:paraId="06258F0F" w14:textId="77777777" w:rsidR="00000000" w:rsidRDefault="00183B92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označen nápisem PAPÍR</w:t>
            </w:r>
          </w:p>
        </w:tc>
      </w:tr>
      <w:tr w:rsidR="00000000" w14:paraId="4A638F1E" w14:textId="77777777"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58F32CB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plasty včetně PET lahví a nápojových kartonů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419C9520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žlutá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2F11BE60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kontejner o objemu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1500 – 3200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l, </w:t>
            </w:r>
          </w:p>
          <w:p w14:paraId="56C122DE" w14:textId="77777777" w:rsidR="00000000" w:rsidRDefault="00183B92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>značen nápisem PLASTY</w:t>
            </w:r>
          </w:p>
        </w:tc>
      </w:tr>
      <w:tr w:rsidR="00000000" w14:paraId="52873A79" w14:textId="77777777"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8763E06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 sklo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1B365B00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zelená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0F4DDB48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Kontejner o objemu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1500 – 2500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</w:p>
          <w:p w14:paraId="38E20930" w14:textId="77777777" w:rsidR="00000000" w:rsidRDefault="00183B92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označen nápisem SKLO</w:t>
            </w:r>
          </w:p>
        </w:tc>
      </w:tr>
      <w:tr w:rsidR="00000000" w14:paraId="6E9C3CD4" w14:textId="77777777">
        <w:trPr>
          <w:trHeight w:val="141"/>
        </w:trPr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28DB0B1A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d) kovy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7645A16F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černá/šedá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684F19FB" w14:textId="77777777" w:rsidR="00000000" w:rsidRDefault="00183B9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velkoobjemový kontejner nebo popelnice</w:t>
            </w:r>
          </w:p>
          <w:p w14:paraId="3DA4995C" w14:textId="77777777" w:rsidR="00000000" w:rsidRDefault="00183B92">
            <w:pPr>
              <w:jc w:val="both"/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označen nápisem KOVY nebo KOVOVÉ ODPADY</w:t>
            </w:r>
          </w:p>
        </w:tc>
      </w:tr>
      <w:tr w:rsidR="00000000" w14:paraId="6FC7EA6A" w14:textId="77777777"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7AD68C1F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g) jedlé oleje a tuky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13CA6BE3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5799A939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popelnice o objemu 120 l</w:t>
            </w:r>
          </w:p>
          <w:p w14:paraId="3CFDCDAB" w14:textId="77777777" w:rsidR="00000000" w:rsidRDefault="00183B92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označený </w:t>
            </w:r>
            <w:r>
              <w:rPr>
                <w:rFonts w:ascii="Arial" w:hAnsi="Arial" w:cs="Arial"/>
                <w:sz w:val="22"/>
                <w:szCs w:val="22"/>
              </w:rPr>
              <w:t>nápisem JEDLÉ OLEJE A TUKY</w:t>
            </w:r>
          </w:p>
        </w:tc>
      </w:tr>
      <w:tr w:rsidR="00000000" w14:paraId="4B72BB78" w14:textId="77777777">
        <w:trPr>
          <w:trHeight w:val="141"/>
        </w:trPr>
        <w:tc>
          <w:tcPr>
            <w:tcW w:w="253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6378E7C8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h) textil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3060C67D" w14:textId="77777777" w:rsidR="00000000" w:rsidRDefault="00183B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bílá</w:t>
            </w:r>
          </w:p>
        </w:tc>
        <w:tc>
          <w:tcPr>
            <w:tcW w:w="464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14:paraId="0BAB734B" w14:textId="77777777" w:rsidR="00000000" w:rsidRDefault="00183B92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kovový kontejner s nápisem TEXTIL</w:t>
            </w:r>
          </w:p>
        </w:tc>
      </w:tr>
    </w:tbl>
    <w:p w14:paraId="0B8EBF6B" w14:textId="77777777" w:rsidR="00000000" w:rsidRDefault="00183B92">
      <w:pPr>
        <w:rPr>
          <w:rFonts w:ascii="Arial" w:hAnsi="Arial" w:cs="Arial"/>
          <w:i/>
          <w:iCs/>
          <w:sz w:val="22"/>
          <w:szCs w:val="22"/>
        </w:rPr>
      </w:pPr>
    </w:p>
    <w:p w14:paraId="7E5210A8" w14:textId="77777777" w:rsidR="00000000" w:rsidRDefault="00183B9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D56045A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57F1CC55" w14:textId="77777777" w:rsidR="00000000" w:rsidRDefault="00183B92">
      <w:pPr>
        <w:numPr>
          <w:ilvl w:val="0"/>
          <w:numId w:val="9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Zvláštní sběrné nádoby je povinnost plnit tak, aby je bylo možno uza</w:t>
      </w:r>
      <w:r>
        <w:rPr>
          <w:rFonts w:ascii="Arial" w:hAnsi="Arial" w:cs="Arial"/>
          <w:sz w:val="22"/>
          <w:szCs w:val="22"/>
        </w:rPr>
        <w:t xml:space="preserve">vřít a odpad z nich při manipulaci nevypadával. Pokud to umožňuje povaha odpadu, je nutno objem odpadu před jeho odložením do sběrné nádoby minimalizovat. </w:t>
      </w:r>
    </w:p>
    <w:p w14:paraId="7238B856" w14:textId="77777777" w:rsidR="00000000" w:rsidRDefault="00183B92">
      <w:pPr>
        <w:pStyle w:val="Odstavecseseznamem"/>
        <w:spacing w:after="0"/>
        <w:rPr>
          <w:rFonts w:ascii="Arial" w:hAnsi="Arial" w:cs="Arial"/>
        </w:rPr>
      </w:pPr>
    </w:p>
    <w:p w14:paraId="0504A4D2" w14:textId="77777777" w:rsidR="00000000" w:rsidRDefault="00183B92">
      <w:pPr>
        <w:numPr>
          <w:ilvl w:val="0"/>
          <w:numId w:val="9"/>
        </w:numPr>
        <w:jc w:val="both"/>
      </w:pPr>
      <w:r>
        <w:rPr>
          <w:rFonts w:ascii="Arial" w:hAnsi="Arial" w:cs="Arial"/>
          <w:sz w:val="22"/>
          <w:szCs w:val="22"/>
        </w:rPr>
        <w:t>Shromažďování plastů a nápojových kartonů je prováděno společně ve žluté nádobě, která může být ozn</w:t>
      </w:r>
      <w:r>
        <w:rPr>
          <w:rFonts w:ascii="Arial" w:hAnsi="Arial" w:cs="Arial"/>
          <w:sz w:val="22"/>
          <w:szCs w:val="22"/>
        </w:rPr>
        <w:t>ačena jen nápisem uvedeným v čl. 3 odst. 3 písm. b).</w:t>
      </w:r>
    </w:p>
    <w:p w14:paraId="1E33BD38" w14:textId="77777777" w:rsidR="00000000" w:rsidRDefault="00183B92">
      <w:pPr>
        <w:pStyle w:val="Odstavecseseznamem"/>
        <w:spacing w:after="0"/>
      </w:pPr>
    </w:p>
    <w:p w14:paraId="41EED846" w14:textId="77777777" w:rsidR="00000000" w:rsidRDefault="00183B92">
      <w:pPr>
        <w:ind w:left="357" w:hanging="357"/>
        <w:jc w:val="both"/>
      </w:pPr>
    </w:p>
    <w:p w14:paraId="02EBC17C" w14:textId="77777777" w:rsidR="00000000" w:rsidRDefault="00183B9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96A7389" w14:textId="77777777" w:rsidR="00000000" w:rsidRDefault="00183B92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14:paraId="73DF1F2B" w14:textId="77777777" w:rsidR="00000000" w:rsidRDefault="00183B9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BBA1A4" w14:textId="77777777" w:rsidR="00000000" w:rsidRDefault="00183B9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</w:t>
      </w:r>
      <w:r>
        <w:rPr>
          <w:rFonts w:ascii="Arial" w:hAnsi="Arial" w:cs="Arial"/>
          <w:sz w:val="22"/>
          <w:szCs w:val="22"/>
        </w:rPr>
        <w:t xml:space="preserve">ímo do zvláštních sběrných nádob k tomuto sběru určených. Informace o svozu jsou zveřejňovány na webových stránkách obce www.obec-dolany.cz, na vývěsce, vyhlášením v místním rozhlase, v obecním zpravodaji a rozesíláním SMS zpráv občanům. </w:t>
      </w:r>
    </w:p>
    <w:p w14:paraId="2634F582" w14:textId="77777777" w:rsidR="00000000" w:rsidRDefault="00183B9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</w:t>
      </w:r>
      <w:r>
        <w:rPr>
          <w:rFonts w:ascii="Arial" w:hAnsi="Arial" w:cs="Arial"/>
          <w:sz w:val="22"/>
          <w:szCs w:val="22"/>
        </w:rPr>
        <w:t>ezpečných složek komunálního odpadu podléhá požadavkům stanoveným v čl. 3 odst. 4 a 5.</w:t>
      </w:r>
    </w:p>
    <w:p w14:paraId="58BB4967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23FBD1B5" w14:textId="77777777" w:rsidR="00000000" w:rsidRDefault="00183B92">
      <w:pPr>
        <w:rPr>
          <w:rFonts w:ascii="Arial" w:hAnsi="Arial" w:cs="Arial"/>
          <w:b/>
          <w:sz w:val="22"/>
          <w:szCs w:val="22"/>
        </w:rPr>
      </w:pPr>
    </w:p>
    <w:p w14:paraId="0EA8C5B4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7BB53FA9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Svoz objemného odpadu</w:t>
      </w:r>
    </w:p>
    <w:p w14:paraId="73583C37" w14:textId="77777777" w:rsidR="00000000" w:rsidRDefault="00183B9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0AF3B5" w14:textId="77777777" w:rsidR="00000000" w:rsidRDefault="00183B9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</w:t>
      </w:r>
      <w:r>
        <w:rPr>
          <w:rFonts w:ascii="Arial" w:hAnsi="Arial" w:cs="Arial"/>
          <w:sz w:val="22"/>
          <w:szCs w:val="22"/>
        </w:rPr>
        <w:t xml:space="preserve">ných nádob k tomuto účelu určených. Informace o svozu jsou zveřejňovány na webových stránkách obce </w:t>
      </w:r>
      <w:hyperlink r:id="rId7" w:history="1">
        <w:r>
          <w:rPr>
            <w:rStyle w:val="Hypertextovodkaz"/>
            <w:rFonts w:ascii="Arial" w:hAnsi="Arial" w:cs="Arial"/>
            <w:sz w:val="22"/>
            <w:szCs w:val="22"/>
          </w:rPr>
          <w:t>www.obec-dolany.cz</w:t>
        </w:r>
      </w:hyperlink>
      <w:r>
        <w:rPr>
          <w:rFonts w:ascii="Arial" w:hAnsi="Arial" w:cs="Arial"/>
          <w:sz w:val="22"/>
          <w:szCs w:val="22"/>
        </w:rPr>
        <w:t>, na vývěsce, vyhlášením v místním rozhlase, v obecním zpravodaji a rozesíláním SMS zpráv občanů</w:t>
      </w:r>
      <w:r>
        <w:rPr>
          <w:rFonts w:ascii="Arial" w:hAnsi="Arial" w:cs="Arial"/>
          <w:sz w:val="22"/>
          <w:szCs w:val="22"/>
        </w:rPr>
        <w:t xml:space="preserve">m. </w:t>
      </w:r>
    </w:p>
    <w:p w14:paraId="0E34259F" w14:textId="77777777" w:rsidR="00000000" w:rsidRDefault="00183B9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940774" w14:textId="77777777" w:rsidR="00000000" w:rsidRDefault="00183B92">
      <w:pPr>
        <w:numPr>
          <w:ilvl w:val="0"/>
          <w:numId w:val="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26EE9395" w14:textId="77777777" w:rsidR="00000000" w:rsidRDefault="00183B92">
      <w:pPr>
        <w:rPr>
          <w:rFonts w:ascii="Arial" w:hAnsi="Arial" w:cs="Arial"/>
          <w:b/>
          <w:sz w:val="22"/>
          <w:szCs w:val="22"/>
        </w:rPr>
      </w:pPr>
    </w:p>
    <w:p w14:paraId="29A07593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BCB6175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466878E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</w:p>
    <w:p w14:paraId="3C6B1DB4" w14:textId="77777777" w:rsidR="00000000" w:rsidRDefault="00183B92">
      <w:pPr>
        <w:widowControl w:val="0"/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5F4CAE" w14:textId="77777777" w:rsidR="00000000" w:rsidRDefault="00183B92">
      <w:pPr>
        <w:numPr>
          <w:ilvl w:val="0"/>
          <w:numId w:val="10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</w:t>
      </w:r>
      <w:r>
        <w:rPr>
          <w:rFonts w:ascii="Arial" w:hAnsi="Arial" w:cs="Arial"/>
          <w:bCs/>
          <w:iCs/>
          <w:sz w:val="22"/>
          <w:szCs w:val="22"/>
        </w:rPr>
        <w:t>e o objemu 110 l, 120 l a 240 l,</w:t>
      </w:r>
    </w:p>
    <w:p w14:paraId="070D9FE8" w14:textId="77777777" w:rsidR="00000000" w:rsidRDefault="00183B92">
      <w:pPr>
        <w:ind w:left="360" w:firstLine="66"/>
        <w:jc w:val="both"/>
        <w:rPr>
          <w:rFonts w:ascii="Arial" w:hAnsi="Arial" w:cs="Arial"/>
          <w:bCs/>
          <w:iCs/>
          <w:sz w:val="22"/>
          <w:szCs w:val="22"/>
        </w:rPr>
      </w:pPr>
    </w:p>
    <w:p w14:paraId="30BC41F4" w14:textId="77777777" w:rsidR="00000000" w:rsidRDefault="00183B92">
      <w:pPr>
        <w:numPr>
          <w:ilvl w:val="0"/>
          <w:numId w:val="10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kontejnery o objemu 1100 l,</w:t>
      </w:r>
    </w:p>
    <w:p w14:paraId="413AE9BC" w14:textId="77777777" w:rsidR="00000000" w:rsidRDefault="00183B92">
      <w:pPr>
        <w:ind w:left="360" w:firstLine="6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C259EB4" w14:textId="77777777" w:rsidR="00000000" w:rsidRDefault="00183B92">
      <w:pPr>
        <w:numPr>
          <w:ilvl w:val="0"/>
          <w:numId w:val="10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velkoobjemové kontejnery:</w:t>
      </w:r>
    </w:p>
    <w:p w14:paraId="1A4604DB" w14:textId="77777777" w:rsidR="00000000" w:rsidRDefault="00183B9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>
        <w:rPr>
          <w:rFonts w:ascii="Arial" w:hAnsi="Arial" w:cs="Arial"/>
          <w:bCs/>
          <w:iCs/>
          <w:sz w:val="22"/>
          <w:szCs w:val="22"/>
        </w:rPr>
        <w:t xml:space="preserve">1 x v chatové oblasti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Komošín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</w:t>
      </w:r>
    </w:p>
    <w:p w14:paraId="0B351882" w14:textId="77777777" w:rsidR="00000000" w:rsidRDefault="00183B92">
      <w:pPr>
        <w:ind w:left="360"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 x na návsi v Andělicích,</w:t>
      </w:r>
    </w:p>
    <w:p w14:paraId="0EF9E9A1" w14:textId="77777777" w:rsidR="00000000" w:rsidRDefault="00183B92">
      <w:pPr>
        <w:ind w:left="360"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1 x na návsi na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Sekrýtě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,</w:t>
      </w:r>
    </w:p>
    <w:p w14:paraId="24847405" w14:textId="77777777" w:rsidR="00000000" w:rsidRDefault="00183B92">
      <w:pPr>
        <w:ind w:left="360" w:firstLine="66"/>
        <w:jc w:val="both"/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2 x na veřejném prostranství u vchodů na veřejném pohřebišti v Dolanech. </w:t>
      </w:r>
    </w:p>
    <w:p w14:paraId="0863B5F1" w14:textId="77777777" w:rsidR="00000000" w:rsidRDefault="00183B92">
      <w:pPr>
        <w:ind w:left="360" w:firstLine="66"/>
        <w:jc w:val="both"/>
      </w:pPr>
    </w:p>
    <w:p w14:paraId="74479505" w14:textId="77777777" w:rsidR="00000000" w:rsidRDefault="00183B92">
      <w:pPr>
        <w:numPr>
          <w:ilvl w:val="0"/>
          <w:numId w:val="10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iCs/>
          <w:sz w:val="22"/>
          <w:szCs w:val="22"/>
        </w:rPr>
        <w:br/>
        <w:t xml:space="preserve">     odkládání drobného směsného komunálního odpadu.</w:t>
      </w:r>
    </w:p>
    <w:p w14:paraId="792CE30A" w14:textId="77777777" w:rsidR="00000000" w:rsidRDefault="00183B92">
      <w:pPr>
        <w:ind w:left="360" w:firstLine="66"/>
        <w:jc w:val="both"/>
        <w:rPr>
          <w:rFonts w:ascii="Arial" w:hAnsi="Arial" w:cs="Arial"/>
          <w:iCs/>
          <w:sz w:val="22"/>
          <w:szCs w:val="22"/>
        </w:rPr>
      </w:pPr>
    </w:p>
    <w:p w14:paraId="4A0EEB25" w14:textId="77777777" w:rsidR="00000000" w:rsidRDefault="00183B92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95FD5AA" w14:textId="77777777" w:rsidR="00000000" w:rsidRDefault="00183B92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 den svozu sběrnýc</w:t>
      </w:r>
      <w:r>
        <w:rPr>
          <w:rFonts w:ascii="Arial" w:hAnsi="Arial" w:cs="Arial"/>
          <w:bCs/>
          <w:iCs/>
          <w:sz w:val="22"/>
          <w:szCs w:val="22"/>
        </w:rPr>
        <w:t xml:space="preserve">h nádob na směsný komunální odpad jsou jejich uživatelé (tj. vlastníci, nájemci apod.) v místních částech Dolany,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Malechov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Výrov,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Svrčovec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Řakom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a Balkovy povinni přistavit sběrné nádoby na veřejné prostranství za podmínek stanovených jinými právními pře</w:t>
      </w:r>
      <w:r>
        <w:rPr>
          <w:rFonts w:ascii="Arial" w:hAnsi="Arial" w:cs="Arial"/>
          <w:bCs/>
          <w:iCs/>
          <w:sz w:val="22"/>
          <w:szCs w:val="22"/>
        </w:rPr>
        <w:t xml:space="preserve">dpisy, ke svozové komunikaci tak, aby byly dostupné pro pracovníky svozové firmy. Do 24 hodin po vyprázdnění sběrných nádob jsou jejich uživatelé povinni je z veřejného prostranství odstranit. </w:t>
      </w:r>
    </w:p>
    <w:p w14:paraId="2C94B1D3" w14:textId="77777777" w:rsidR="00000000" w:rsidRDefault="00183B92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Odvozový den je pro jednotlivé části obce předem stanoven pro </w:t>
      </w:r>
      <w:r>
        <w:rPr>
          <w:rFonts w:ascii="Arial" w:hAnsi="Arial" w:cs="Arial"/>
          <w:bCs/>
          <w:iCs/>
          <w:sz w:val="22"/>
          <w:szCs w:val="22"/>
        </w:rPr>
        <w:t xml:space="preserve">každé pololetí kalendářního roku, je zveřejňován na informačních deskách OÚ Dolany, na www stránkách obce, v místním rozhlase, v obecním zpravodaji a rozesílám SMS zpráv občanům. </w:t>
      </w:r>
    </w:p>
    <w:p w14:paraId="5F76C80A" w14:textId="77777777" w:rsidR="00000000" w:rsidRDefault="00183B92">
      <w:p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6AE5000C" w14:textId="77777777" w:rsidR="00000000" w:rsidRDefault="00183B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6E3FB315" w14:textId="77777777" w:rsidR="00000000" w:rsidRDefault="00183B92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právnických a podnikajících fyzických osob</w:t>
      </w:r>
    </w:p>
    <w:p w14:paraId="1CC62E08" w14:textId="77777777" w:rsidR="00000000" w:rsidRDefault="00183B92"/>
    <w:p w14:paraId="79E0B70E" w14:textId="77777777" w:rsidR="00000000" w:rsidRDefault="00183B9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 a), b), c) a d) předávají do zvláštních sběrných nádob umístěných na stanovišt</w:t>
      </w:r>
      <w:r>
        <w:rPr>
          <w:rFonts w:ascii="Arial" w:hAnsi="Arial" w:cs="Arial"/>
          <w:sz w:val="22"/>
          <w:szCs w:val="22"/>
        </w:rPr>
        <w:t xml:space="preserve">ích uvedených v seznamu stanovišť zveřejněném na webových stránkách obce </w:t>
      </w:r>
      <w:hyperlink r:id="rId8" w:history="1">
        <w:r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www.dolany-dolany.cz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CDB7F3C" w14:textId="77777777" w:rsidR="00000000" w:rsidRDefault="00183B9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ACF10B" w14:textId="77777777" w:rsidR="00000000" w:rsidRDefault="00183B9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Výše úhrady za zapojení do obecního systému se stanoví podle aktuálního „Sazebníku“, schváleného zastupitelstvem obce Do</w:t>
      </w:r>
      <w:r>
        <w:rPr>
          <w:rFonts w:ascii="Arial" w:hAnsi="Arial" w:cs="Arial"/>
          <w:sz w:val="22"/>
          <w:szCs w:val="22"/>
        </w:rPr>
        <w:t xml:space="preserve">lany, který je zveřejňován na webových stránkách obce </w:t>
      </w:r>
      <w:hyperlink r:id="rId9" w:history="1">
        <w:r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www.obec-dolany.cz</w:t>
        </w:r>
      </w:hyperlink>
      <w:r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44A82171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0117BBDB" w14:textId="77777777" w:rsidR="00000000" w:rsidRDefault="00183B92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jednorázově, a to v hotovosti na pokladně obecního úřadu nebo převodem na účet.</w:t>
      </w:r>
    </w:p>
    <w:p w14:paraId="068E5ED5" w14:textId="77777777" w:rsidR="00000000" w:rsidRDefault="00183B9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ED8D38B" w14:textId="77777777" w:rsidR="00000000" w:rsidRDefault="00183B9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F384960" w14:textId="77777777" w:rsidR="00000000" w:rsidRDefault="00183B92">
      <w:pPr>
        <w:pStyle w:val="Nadpis2"/>
        <w:jc w:val="center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D63EC89" w14:textId="77777777" w:rsidR="00000000" w:rsidRDefault="00183B92">
      <w:pPr>
        <w:jc w:val="both"/>
        <w:rPr>
          <w:rFonts w:ascii="Arial" w:hAnsi="Arial" w:cs="Arial"/>
          <w:i/>
          <w:color w:val="00B0F0"/>
          <w:sz w:val="22"/>
        </w:rPr>
      </w:pPr>
    </w:p>
    <w:p w14:paraId="6D76215A" w14:textId="77777777" w:rsidR="00000000" w:rsidRDefault="00183B92">
      <w:pPr>
        <w:numPr>
          <w:ilvl w:val="0"/>
          <w:numId w:val="11"/>
        </w:numPr>
        <w:jc w:val="both"/>
      </w:pPr>
      <w:r>
        <w:rPr>
          <w:rFonts w:ascii="Arial" w:hAnsi="Arial" w:cs="Arial"/>
          <w:sz w:val="22"/>
          <w:szCs w:val="22"/>
        </w:rPr>
        <w:t>Komunitním</w:t>
      </w:r>
      <w:r>
        <w:rPr>
          <w:rFonts w:ascii="Arial" w:hAnsi="Arial" w:cs="Arial"/>
          <w:sz w:val="22"/>
          <w:szCs w:val="22"/>
        </w:rPr>
        <w:t xml:space="preserve"> kompostováním je systém soustřeďování rostlinných zbytků z údržby zeleně, zahrad a domácností z území obce, jejich úprava a následné zpracování v komunitní kompostárně na kompost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.</w:t>
      </w:r>
    </w:p>
    <w:p w14:paraId="67EA74E0" w14:textId="77777777" w:rsidR="00000000" w:rsidRDefault="00183B92">
      <w:pPr>
        <w:jc w:val="both"/>
      </w:pPr>
    </w:p>
    <w:p w14:paraId="2892A6E5" w14:textId="77777777" w:rsidR="00000000" w:rsidRDefault="00183B92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Rostlinné zbytky z údržby zeleně, zahrad a domácností ovoce a zelenina ze</w:t>
      </w:r>
      <w:r>
        <w:rPr>
          <w:rFonts w:ascii="Arial" w:hAnsi="Arial" w:cs="Arial"/>
          <w:sz w:val="22"/>
          <w:szCs w:val="22"/>
        </w:rPr>
        <w:t xml:space="preserve"> zahrad </w:t>
      </w:r>
      <w:r>
        <w:rPr>
          <w:rFonts w:ascii="Arial" w:hAnsi="Arial" w:cs="Arial"/>
          <w:sz w:val="22"/>
          <w:szCs w:val="22"/>
        </w:rPr>
        <w:br/>
        <w:t xml:space="preserve">a kuchyní, drny se zeminou, rostliny a jejich zbytky neznečištěné chemickými látkami, které budou využity v rámci komunitního kompostování, lze předávat v komunitní kompostárně Dolany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663/9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Dolany u Klatov ve stanovené pro</w:t>
      </w:r>
      <w:r>
        <w:rPr>
          <w:rFonts w:ascii="Arial" w:hAnsi="Arial" w:cs="Arial"/>
          <w:sz w:val="22"/>
          <w:szCs w:val="22"/>
        </w:rPr>
        <w:t xml:space="preserve">vozní době dle OZV č. 2/2019, kterou se stanoví systém komunitního kompostování. </w:t>
      </w:r>
    </w:p>
    <w:p w14:paraId="1D1959CA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</w:p>
    <w:p w14:paraId="70964F81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174FFBF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0843435" w14:textId="77777777" w:rsidR="00000000" w:rsidRDefault="00183B92">
      <w:pPr>
        <w:jc w:val="center"/>
        <w:rPr>
          <w:rFonts w:ascii="Arial" w:hAnsi="Arial" w:cs="Arial"/>
          <w:b/>
          <w:sz w:val="22"/>
          <w:szCs w:val="22"/>
        </w:rPr>
      </w:pPr>
    </w:p>
    <w:p w14:paraId="3AD3855C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 xml:space="preserve">č. 7/2021, o stanovení obecního systému odpadového hospodářství, ze dne </w:t>
      </w:r>
      <w:r>
        <w:rPr>
          <w:rFonts w:ascii="Arial" w:hAnsi="Arial" w:cs="Arial"/>
          <w:sz w:val="22"/>
          <w:szCs w:val="22"/>
        </w:rPr>
        <w:t xml:space="preserve">9.12.2021. </w:t>
      </w:r>
    </w:p>
    <w:p w14:paraId="5FAFE56C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7A01599D" w14:textId="77777777" w:rsidR="00000000" w:rsidRDefault="00183B92">
      <w:pPr>
        <w:jc w:val="both"/>
        <w:rPr>
          <w:rFonts w:ascii="Arial" w:hAnsi="Arial" w:cs="Arial"/>
          <w:sz w:val="22"/>
          <w:szCs w:val="22"/>
        </w:rPr>
      </w:pPr>
    </w:p>
    <w:p w14:paraId="20D7E621" w14:textId="77777777" w:rsidR="00000000" w:rsidRDefault="00183B9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15A450D7" w14:textId="77777777" w:rsidR="00000000" w:rsidRDefault="00183B92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BBDFB35" w14:textId="77777777" w:rsidR="00000000" w:rsidRDefault="00183B92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25AF573" w14:textId="77777777" w:rsidR="00000000" w:rsidRDefault="00183B92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b/>
          <w:bCs/>
          <w:sz w:val="22"/>
          <w:szCs w:val="22"/>
        </w:rPr>
        <w:t>počátkem patnáctého dne následujícího po jejím vyhlášení.</w:t>
      </w:r>
    </w:p>
    <w:p w14:paraId="3D48A3A6" w14:textId="77777777" w:rsidR="00F201F5" w:rsidRDefault="00F201F5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16870469" w14:textId="30FE0ACA" w:rsidR="00000000" w:rsidRDefault="00183B92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83959">
        <w:rPr>
          <w:rFonts w:ascii="Arial" w:hAnsi="Arial" w:cs="Arial"/>
          <w:bCs/>
          <w:sz w:val="22"/>
          <w:szCs w:val="22"/>
        </w:rPr>
        <w:t>VR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B83959">
        <w:rPr>
          <w:rFonts w:ascii="Arial" w:hAnsi="Arial" w:cs="Arial"/>
          <w:bCs/>
          <w:sz w:val="22"/>
          <w:szCs w:val="22"/>
        </w:rPr>
        <w:t xml:space="preserve">                                        VR</w:t>
      </w:r>
    </w:p>
    <w:p w14:paraId="54C0FC7F" w14:textId="77777777" w:rsidR="00000000" w:rsidRDefault="00183B92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</w:t>
      </w:r>
      <w:r>
        <w:rPr>
          <w:rFonts w:ascii="Arial" w:hAnsi="Arial" w:cs="Arial"/>
          <w:bCs/>
          <w:sz w:val="22"/>
          <w:szCs w:val="22"/>
        </w:rPr>
        <w:t>...……………….</w:t>
      </w:r>
      <w:r>
        <w:rPr>
          <w:rFonts w:ascii="Arial" w:hAnsi="Arial" w:cs="Arial"/>
          <w:bCs/>
          <w:sz w:val="22"/>
          <w:szCs w:val="22"/>
        </w:rPr>
        <w:tab/>
        <w:t xml:space="preserve">                   </w:t>
      </w:r>
      <w:r>
        <w:rPr>
          <w:rFonts w:ascii="Arial" w:hAnsi="Arial" w:cs="Arial"/>
          <w:bCs/>
          <w:sz w:val="22"/>
          <w:szCs w:val="22"/>
        </w:rPr>
        <w:tab/>
        <w:t>……………………………….</w:t>
      </w:r>
    </w:p>
    <w:p w14:paraId="0AA37180" w14:textId="77777777" w:rsidR="00000000" w:rsidRDefault="00183B9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Stanislav Král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Ing. Václav Zeman</w:t>
      </w:r>
    </w:p>
    <w:p w14:paraId="3B45FB6A" w14:textId="77777777" w:rsidR="00000000" w:rsidRDefault="00183B92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 obce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sta</w:t>
      </w:r>
      <w:r>
        <w:rPr>
          <w:rFonts w:ascii="Arial" w:hAnsi="Arial" w:cs="Arial"/>
          <w:bCs/>
          <w:sz w:val="22"/>
          <w:szCs w:val="22"/>
        </w:rPr>
        <w:t>rosta obce</w:t>
      </w:r>
    </w:p>
    <w:p w14:paraId="06CAE907" w14:textId="77777777" w:rsidR="00000000" w:rsidRDefault="00183B92">
      <w:pPr>
        <w:rPr>
          <w:rFonts w:ascii="Arial" w:hAnsi="Arial" w:cs="Arial"/>
          <w:sz w:val="22"/>
          <w:szCs w:val="22"/>
        </w:rPr>
      </w:pPr>
    </w:p>
    <w:p w14:paraId="315A6B04" w14:textId="77777777" w:rsidR="00000000" w:rsidRDefault="00183B92">
      <w:pPr>
        <w:tabs>
          <w:tab w:val="left" w:pos="3996"/>
        </w:tabs>
        <w:rPr>
          <w:rFonts w:ascii="Arial" w:hAnsi="Arial" w:cs="Arial"/>
          <w:sz w:val="22"/>
          <w:szCs w:val="22"/>
        </w:rPr>
      </w:pPr>
    </w:p>
    <w:p w14:paraId="74C83824" w14:textId="5E2318FC" w:rsidR="00000000" w:rsidRDefault="00183B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F201F5">
        <w:rPr>
          <w:rFonts w:ascii="Arial" w:hAnsi="Arial" w:cs="Arial"/>
          <w:sz w:val="22"/>
          <w:szCs w:val="22"/>
        </w:rPr>
        <w:t>15.12.2022</w:t>
      </w:r>
    </w:p>
    <w:p w14:paraId="401EA60E" w14:textId="77777777" w:rsidR="00183B92" w:rsidRDefault="00183B92">
      <w:r>
        <w:rPr>
          <w:rFonts w:ascii="Arial" w:hAnsi="Arial" w:cs="Arial"/>
          <w:sz w:val="22"/>
          <w:szCs w:val="22"/>
        </w:rPr>
        <w:t>Sejmuto z úřední desky obecního úřadu dne:</w:t>
      </w:r>
    </w:p>
    <w:sectPr w:rsidR="00183B92">
      <w:footerReference w:type="default" r:id="rId10"/>
      <w:pgSz w:w="11906" w:h="16838"/>
      <w:pgMar w:top="1418" w:right="1418" w:bottom="1418" w:left="1418" w:header="708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2487" w14:textId="77777777" w:rsidR="00183B92" w:rsidRDefault="00183B92">
      <w:r>
        <w:separator/>
      </w:r>
    </w:p>
  </w:endnote>
  <w:endnote w:type="continuationSeparator" w:id="0">
    <w:p w14:paraId="5DB51788" w14:textId="77777777" w:rsidR="00183B92" w:rsidRDefault="0018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E587" w14:textId="77777777" w:rsidR="00000000" w:rsidRDefault="00183B9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20D34D01" w14:textId="77777777" w:rsidR="00000000" w:rsidRDefault="00183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5DF3" w14:textId="77777777" w:rsidR="00183B92" w:rsidRDefault="00183B92">
      <w:r>
        <w:separator/>
      </w:r>
    </w:p>
  </w:footnote>
  <w:footnote w:type="continuationSeparator" w:id="0">
    <w:p w14:paraId="05E0DBD4" w14:textId="77777777" w:rsidR="00183B92" w:rsidRDefault="00183B92">
      <w:r>
        <w:continuationSeparator/>
      </w:r>
    </w:p>
  </w:footnote>
  <w:footnote w:id="1">
    <w:p w14:paraId="737DEC46" w14:textId="77777777" w:rsidR="00000000" w:rsidRDefault="00183B9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61 zákona o odpadech</w:t>
      </w:r>
    </w:p>
  </w:footnote>
  <w:footnote w:id="2">
    <w:p w14:paraId="40DE3643" w14:textId="77777777" w:rsidR="00000000" w:rsidRDefault="00183B9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§ 60 zákona o odpadech</w:t>
      </w:r>
    </w:p>
  </w:footnote>
  <w:footnote w:id="3">
    <w:p w14:paraId="27D4737F" w14:textId="77777777" w:rsidR="00000000" w:rsidRDefault="00183B92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>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000000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electFldWithFirstOrLastChar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1F5"/>
    <w:rsid w:val="00183B92"/>
    <w:rsid w:val="00B83959"/>
    <w:rsid w:val="00F2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844EC2"/>
  <w15:chartTrackingRefBased/>
  <w15:docId w15:val="{9F6E71D2-152B-4EAB-B449-1AA4160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B0F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color w:val="auto"/>
    </w:rPr>
  </w:style>
  <w:style w:type="character" w:customStyle="1" w:styleId="WW8Num3z0">
    <w:name w:val="WW8Num3z0"/>
    <w:rPr>
      <w:rFonts w:cs="Arial" w:hint="default"/>
    </w:rPr>
  </w:style>
  <w:style w:type="character" w:customStyle="1" w:styleId="WW8Num4z0">
    <w:name w:val="WW8Num4z0"/>
    <w:rPr>
      <w:rFonts w:cs="Arial"/>
      <w:color w:val="000000"/>
    </w:rPr>
  </w:style>
  <w:style w:type="character" w:customStyle="1" w:styleId="WW8Num5z0">
    <w:name w:val="WW8Num5z0"/>
    <w:rPr>
      <w:rFonts w:ascii="Arial" w:hAnsi="Arial" w:cs="Arial"/>
      <w:sz w:val="22"/>
      <w:szCs w:val="22"/>
    </w:rPr>
  </w:style>
  <w:style w:type="character" w:customStyle="1" w:styleId="WW8Num6z0">
    <w:name w:val="WW8Num6z0"/>
    <w:rPr>
      <w:rFonts w:cs="Arial" w:hint="default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/>
      <w:color w:val="000000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sz w:val="22"/>
      <w:szCs w:val="22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color w:val="auto"/>
      <w:sz w:val="22"/>
      <w:szCs w:val="22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0">
    <w:name w:val="WW8Num12z0"/>
    <w:rPr>
      <w:rFonts w:hint="default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strike w:val="0"/>
      <w:dstrike w:val="0"/>
      <w:color w:val="auto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i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 w:hint="default"/>
      <w:sz w:val="22"/>
      <w:szCs w:val="22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eastAsia="Times New Roman" w:hAnsi="Arial" w:cs="Times New Roman" w:hint="default"/>
      <w:bCs/>
      <w:iCs/>
      <w:color w:val="000000"/>
      <w:sz w:val="22"/>
      <w:szCs w:val="22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Times New Roman" w:hAnsi="Aria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  <w:strike w:val="0"/>
      <w:dstrike w:val="0"/>
      <w:color w:val="auto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eastAsia="Times New Roman" w:hAnsi="Arial" w:cs="Arial"/>
      <w:iCs/>
      <w:color w:val="auto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563C1"/>
      <w:u w:val="single"/>
    </w:rPr>
  </w:style>
  <w:style w:type="character" w:styleId="Nevyeenzmnka">
    <w:name w:val="Unresolved Mention"/>
    <w:rPr>
      <w:color w:val="605E5C"/>
      <w:shd w:val="clear" w:color="auto" w:fill="E1DFDD"/>
    </w:rPr>
  </w:style>
  <w:style w:type="character" w:styleId="Znakapoznpodarou">
    <w:name w:val="foot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lesiny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-dolany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ec-dolan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Rohrbacherová</cp:lastModifiedBy>
  <cp:revision>2</cp:revision>
  <cp:lastPrinted>2021-12-10T10:26:00Z</cp:lastPrinted>
  <dcterms:created xsi:type="dcterms:W3CDTF">2022-12-15T14:42:00Z</dcterms:created>
  <dcterms:modified xsi:type="dcterms:W3CDTF">2022-12-15T14:42:00Z</dcterms:modified>
</cp:coreProperties>
</file>