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623" w:rsidRPr="00F97690" w:rsidRDefault="002E2623" w:rsidP="002E2623">
      <w:pPr>
        <w:jc w:val="right"/>
        <w:rPr>
          <w:rFonts w:ascii="Verdana" w:hAnsi="Verdana"/>
          <w:b/>
          <w:sz w:val="22"/>
          <w:szCs w:val="22"/>
        </w:rPr>
      </w:pPr>
      <w:r w:rsidRPr="00F97690">
        <w:rPr>
          <w:rFonts w:ascii="Verdana" w:hAnsi="Verdana"/>
          <w:b/>
          <w:sz w:val="22"/>
          <w:szCs w:val="22"/>
        </w:rPr>
        <w:t xml:space="preserve">Příloha č. 1 k obecně závazné vyhlášce č. </w:t>
      </w:r>
      <w:r>
        <w:rPr>
          <w:rFonts w:ascii="Verdana" w:hAnsi="Verdana"/>
          <w:b/>
          <w:sz w:val="22"/>
          <w:szCs w:val="22"/>
        </w:rPr>
        <w:t>2</w:t>
      </w:r>
      <w:r w:rsidRPr="00F97690">
        <w:rPr>
          <w:rFonts w:ascii="Verdana" w:hAnsi="Verdana"/>
          <w:b/>
          <w:sz w:val="22"/>
          <w:szCs w:val="22"/>
        </w:rPr>
        <w:t>/2007</w:t>
      </w:r>
    </w:p>
    <w:p w:rsidR="002E2623" w:rsidRPr="00F97690" w:rsidRDefault="002E2623" w:rsidP="002E2623">
      <w:pPr>
        <w:jc w:val="right"/>
        <w:rPr>
          <w:rFonts w:ascii="Verdana" w:hAnsi="Verdana"/>
          <w:b/>
          <w:sz w:val="22"/>
          <w:szCs w:val="22"/>
        </w:rPr>
      </w:pPr>
    </w:p>
    <w:p w:rsidR="002E2623" w:rsidRPr="00F97690" w:rsidRDefault="002E2623" w:rsidP="002E2623">
      <w:pPr>
        <w:jc w:val="both"/>
        <w:rPr>
          <w:rFonts w:ascii="Verdana" w:hAnsi="Verdana"/>
          <w:sz w:val="22"/>
          <w:szCs w:val="22"/>
        </w:rPr>
      </w:pPr>
      <w:r w:rsidRPr="00F97690">
        <w:rPr>
          <w:rFonts w:ascii="Verdana" w:hAnsi="Verdana"/>
          <w:sz w:val="22"/>
          <w:szCs w:val="22"/>
        </w:rPr>
        <w:t xml:space="preserve">Přehled veřejných prostranství, </w:t>
      </w:r>
      <w:r>
        <w:rPr>
          <w:rFonts w:ascii="Verdana" w:hAnsi="Verdana"/>
          <w:sz w:val="22"/>
          <w:szCs w:val="22"/>
        </w:rPr>
        <w:t>kde je možný pohyb psů pouze na vodítku</w:t>
      </w:r>
      <w:r w:rsidRPr="00F97690">
        <w:rPr>
          <w:rFonts w:ascii="Verdana" w:hAnsi="Verdana"/>
          <w:sz w:val="22"/>
          <w:szCs w:val="22"/>
        </w:rPr>
        <w:t>:</w:t>
      </w:r>
    </w:p>
    <w:p w:rsidR="002E2623" w:rsidRPr="00F97690" w:rsidRDefault="002E2623" w:rsidP="002E2623">
      <w:pPr>
        <w:jc w:val="both"/>
        <w:rPr>
          <w:rFonts w:ascii="Verdana" w:hAnsi="Verdana"/>
          <w:sz w:val="22"/>
          <w:szCs w:val="22"/>
        </w:rPr>
      </w:pPr>
    </w:p>
    <w:p w:rsidR="002E2623" w:rsidRDefault="002E2623" w:rsidP="002E262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oblast Dolní Malá Strana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257/1,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1056, 1058/2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256 včetně mostu přes řeku Úpu (naproti firmě Partis)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1072,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41/3,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21/1,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1066/1 – břehy řeky Úpy </w:t>
      </w:r>
    </w:p>
    <w:p w:rsidR="002E2623" w:rsidRDefault="002E2623" w:rsidP="002E2623">
      <w:pPr>
        <w:rPr>
          <w:rFonts w:ascii="Verdana" w:hAnsi="Verdana"/>
        </w:rPr>
      </w:pPr>
    </w:p>
    <w:p w:rsidR="002E2623" w:rsidRDefault="002E2623" w:rsidP="002E2623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oblast střed obce I. (od továrny po hospodu)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1066/2 (PLA)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st. p. č. 90 – prostor před a vedle hasičské zbrojnice </w:t>
      </w:r>
    </w:p>
    <w:p w:rsidR="002E2623" w:rsidRDefault="002E2623" w:rsidP="002E2623">
      <w:pPr>
        <w:numPr>
          <w:ilvl w:val="12"/>
          <w:numId w:val="0"/>
        </w:numPr>
        <w:ind w:left="1080" w:firstLine="336"/>
        <w:rPr>
          <w:rFonts w:ascii="Verdana" w:hAnsi="Verdana"/>
        </w:rPr>
      </w:pPr>
      <w:r>
        <w:rPr>
          <w:rFonts w:ascii="Verdana" w:hAnsi="Verdana"/>
        </w:rPr>
        <w:t>(ne dvůr před domem č. p. 111)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905/3 komunikace od silnice I/14 (u domu č. p. 122) k odbočce na kravín</w:t>
      </w:r>
    </w:p>
    <w:p w:rsidR="002E2623" w:rsidRDefault="002E2623" w:rsidP="002E2623">
      <w:pPr>
        <w:rPr>
          <w:rFonts w:ascii="Verdana" w:hAnsi="Verdana"/>
        </w:rPr>
      </w:pPr>
    </w:p>
    <w:p w:rsidR="002E2623" w:rsidRDefault="002E2623" w:rsidP="002E2623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oblast střed obce II. (od hospody po betonový most)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p. p. č. 87/1, 87/2, 87/4, 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88/4,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88/1,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90/1, 90/2 (SUS HK),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1037 - komunikace od silnice I/14 k tělocvičně,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1038 – komunikace od vjezdu k OÚ po délku oplocení hřiště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p. p. č. 1019 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komunikace za horním betonovým mostem včetně mostu vedoucí po celé délce Horní Malé Strany ke Karlovu mostu (není-li již součástí p. p. č. 1019)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komunikace od horního betonového mostu po dům č. p. 82 (p. Burdych),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785/5</w:t>
      </w:r>
    </w:p>
    <w:p w:rsidR="002E2623" w:rsidRDefault="002E2623" w:rsidP="002E2623">
      <w:pPr>
        <w:rPr>
          <w:rFonts w:ascii="Verdana" w:hAnsi="Verdana"/>
        </w:rPr>
      </w:pPr>
    </w:p>
    <w:p w:rsidR="002E2623" w:rsidRDefault="002E2623" w:rsidP="002E2623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oblast Horní Malá Strana – střed (od domu č. p. 30 po dům č. p. 22)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95/1, 95/2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159/1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151/1, 151/2,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1013/3, 1013/4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570, 572, 573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dřevěný most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1013/1 komunikace od silnice I/14 po dům č. p. 70</w:t>
      </w:r>
    </w:p>
    <w:p w:rsidR="002E2623" w:rsidRDefault="002E2623" w:rsidP="002E2623">
      <w:pPr>
        <w:rPr>
          <w:rFonts w:ascii="Verdana" w:hAnsi="Verdana"/>
        </w:rPr>
      </w:pPr>
    </w:p>
    <w:p w:rsidR="002E2623" w:rsidRDefault="002E2623" w:rsidP="002E2623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oblast Kopec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1015 komunikace – tzv. „dlážděnka“ po viadukt pod železniční tratí</w:t>
      </w:r>
    </w:p>
    <w:p w:rsidR="002E2623" w:rsidRDefault="002E2623" w:rsidP="002E2623">
      <w:pPr>
        <w:rPr>
          <w:rFonts w:ascii="Verdana" w:hAnsi="Verdana"/>
        </w:rPr>
      </w:pPr>
    </w:p>
    <w:p w:rsidR="002E2623" w:rsidRDefault="002E2623" w:rsidP="002E2623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Lhotka I. a II.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680, 688/4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Karlův most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681/3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618,</w:t>
      </w:r>
    </w:p>
    <w:p w:rsidR="002E2623" w:rsidRDefault="002E2623" w:rsidP="002E262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>p. p. č. 1012</w:t>
      </w:r>
    </w:p>
    <w:p w:rsidR="002E2623" w:rsidRDefault="002E2623" w:rsidP="002E2623">
      <w:pPr>
        <w:rPr>
          <w:rFonts w:ascii="Verdana" w:hAnsi="Verdana"/>
        </w:rPr>
      </w:pPr>
    </w:p>
    <w:p w:rsidR="002E2623" w:rsidRDefault="002E2623" w:rsidP="002E2623">
      <w:pPr>
        <w:jc w:val="both"/>
        <w:rPr>
          <w:rFonts w:ascii="Verdana" w:hAnsi="Verdana"/>
        </w:rPr>
      </w:pPr>
      <w:r>
        <w:rPr>
          <w:rFonts w:ascii="Verdana" w:hAnsi="Verdana"/>
        </w:rPr>
        <w:t>Za veřejné prostranství se dále považuje silnice I/14 a k ní přináležející chodníky v celém katastrálním území obce Suchovršice a břehy řeky Úpy v celém katastrálním území obce Suchovršice, pokud nejsou již výše uvedeny.</w:t>
      </w:r>
    </w:p>
    <w:p w:rsidR="008102D4" w:rsidRDefault="008102D4"/>
    <w:sectPr w:rsidR="0081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5A544E"/>
    <w:lvl w:ilvl="0">
      <w:numFmt w:val="decimal"/>
      <w:lvlText w:val="*"/>
      <w:lvlJc w:val="left"/>
    </w:lvl>
  </w:abstractNum>
  <w:abstractNum w:abstractNumId="1" w15:restartNumberingAfterBreak="0">
    <w:nsid w:val="01751C55"/>
    <w:multiLevelType w:val="singleLevel"/>
    <w:tmpl w:val="356865E8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FDB4918"/>
    <w:multiLevelType w:val="singleLevel"/>
    <w:tmpl w:val="356865E8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23D963CB"/>
    <w:multiLevelType w:val="singleLevel"/>
    <w:tmpl w:val="356865E8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47BC4968"/>
    <w:multiLevelType w:val="singleLevel"/>
    <w:tmpl w:val="356865E8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5141708D"/>
    <w:multiLevelType w:val="singleLevel"/>
    <w:tmpl w:val="356865E8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73252EDB"/>
    <w:multiLevelType w:val="singleLevel"/>
    <w:tmpl w:val="356865E8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1253320801">
    <w:abstractNumId w:val="1"/>
  </w:num>
  <w:num w:numId="2" w16cid:durableId="105547280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440" w:hanging="360"/>
        </w:pPr>
      </w:lvl>
    </w:lvlOverride>
  </w:num>
  <w:num w:numId="3" w16cid:durableId="1633290903">
    <w:abstractNumId w:val="6"/>
  </w:num>
  <w:num w:numId="4" w16cid:durableId="1965427246">
    <w:abstractNumId w:val="4"/>
  </w:num>
  <w:num w:numId="5" w16cid:durableId="873156606">
    <w:abstractNumId w:val="3"/>
  </w:num>
  <w:num w:numId="6" w16cid:durableId="93063345">
    <w:abstractNumId w:val="2"/>
  </w:num>
  <w:num w:numId="7" w16cid:durableId="236745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23"/>
    <w:rsid w:val="002E2623"/>
    <w:rsid w:val="008102D4"/>
    <w:rsid w:val="008C2DEE"/>
    <w:rsid w:val="008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03E9D-C336-41D7-B979-E8848D4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62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Suchovrsice</dc:creator>
  <cp:keywords/>
  <dc:description/>
  <cp:lastModifiedBy>Obec Suchovrsice</cp:lastModifiedBy>
  <cp:revision>1</cp:revision>
  <dcterms:created xsi:type="dcterms:W3CDTF">2024-12-18T08:06:00Z</dcterms:created>
  <dcterms:modified xsi:type="dcterms:W3CDTF">2024-12-18T08:06:00Z</dcterms:modified>
</cp:coreProperties>
</file>