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Město Kouřim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Příloha č. 2 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Obecně závazné vyhlášky města Kouřim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o místním poplatku za užívání veřejného prostranství </w:t>
      </w: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  <w:t>Veřejná prostranství (ulice/část obce k.ú. Kouřim), za jejichž užívání se platí poplatek</w:t>
      </w:r>
      <w:bookmarkStart w:id="0" w:name="_GoBack"/>
      <w:bookmarkEnd w:id="0"/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</w:pP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drawing>
          <wp:inline distT="0" distB="0" distL="114300" distR="114300">
            <wp:extent cx="5992495" cy="8676640"/>
            <wp:effectExtent l="0" t="0" r="8255" b="10160"/>
            <wp:docPr id="1" name="Picture 1" descr="457867c5-243e-44d2-921c-25e8602a3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457867c5-243e-44d2-921c-25e8602a31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175E2"/>
    <w:rsid w:val="0AD41965"/>
    <w:rsid w:val="6EA848C3"/>
    <w:rsid w:val="77A175E2"/>
    <w:rsid w:val="7A2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2023-11-22T08:32:00Z</dcterms:created>
  <dc:creator>Jana</dc:creator>
  <cp:lastModifiedBy>Jana</cp:lastModifiedBy>
  <dcterms:modified xsi:type="dcterms:W3CDTF">2023-11-22T08:59:46Z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9F6DA8DF34874EDE94374245804E219F</vt:lpwstr>
  </property>
</Properties>
</file>