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C8A" w:rsidRPr="006A1C8A" w:rsidRDefault="006A1C8A" w:rsidP="00FE760C">
      <w:pPr>
        <w:pBdr>
          <w:bottom w:val="single" w:sz="12" w:space="1" w:color="auto"/>
        </w:pBdr>
        <w:jc w:val="both"/>
        <w:rPr>
          <w:b/>
          <w:sz w:val="32"/>
          <w:szCs w:val="32"/>
        </w:rPr>
      </w:pPr>
      <w:r w:rsidRPr="006A1C8A">
        <w:rPr>
          <w:b/>
          <w:sz w:val="56"/>
          <w:szCs w:val="56"/>
        </w:rPr>
        <w:t xml:space="preserve">OBEC VEVERSKÉ KNÍNICE              </w:t>
      </w:r>
      <w:r w:rsidRPr="006A1C8A">
        <w:rPr>
          <w:b/>
          <w:noProof/>
          <w:sz w:val="56"/>
          <w:szCs w:val="56"/>
          <w:lang w:eastAsia="cs-CZ"/>
        </w:rPr>
        <w:drawing>
          <wp:inline distT="0" distB="0" distL="0" distR="0" wp14:anchorId="3009E15C" wp14:editId="4989FF60">
            <wp:extent cx="890270" cy="1058595"/>
            <wp:effectExtent l="0" t="0" r="5080" b="8255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84" cy="108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1C8A">
        <w:rPr>
          <w:b/>
          <w:sz w:val="56"/>
          <w:szCs w:val="56"/>
        </w:rPr>
        <w:br/>
      </w:r>
      <w:r w:rsidRPr="006A1C8A">
        <w:rPr>
          <w:b/>
          <w:sz w:val="32"/>
          <w:szCs w:val="32"/>
        </w:rPr>
        <w:t>Veverské Knínice 260, 664 81 Ostrovačice</w:t>
      </w:r>
    </w:p>
    <w:p w:rsidR="006A1C8A" w:rsidRPr="006A1C8A" w:rsidRDefault="006A1C8A" w:rsidP="00FE760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 w:rsidRPr="006A1C8A">
        <w:rPr>
          <w:b/>
          <w:bCs/>
          <w:spacing w:val="40"/>
          <w:sz w:val="32"/>
          <w:szCs w:val="32"/>
          <w:u w:val="none"/>
        </w:rPr>
        <w:t xml:space="preserve">                               </w:t>
      </w:r>
    </w:p>
    <w:p w:rsidR="005A4BD1" w:rsidRDefault="005A4BD1" w:rsidP="00FE760C">
      <w:pPr>
        <w:pStyle w:val="Bezmezer"/>
        <w:jc w:val="both"/>
        <w:rPr>
          <w:b/>
          <w:color w:val="000000" w:themeColor="text1"/>
          <w:sz w:val="28"/>
          <w:szCs w:val="28"/>
        </w:rPr>
      </w:pP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OBEC Veverské Knínice</w:t>
      </w: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Zastupitelstvo obce Veverské Knínice</w:t>
      </w: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Obecně závazná vyhláška obce Veverské Knínice</w:t>
      </w:r>
    </w:p>
    <w:p w:rsidR="005A4BD1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 stanovení obecního systému odpadového</w:t>
      </w:r>
      <w:r w:rsidR="00B93B25">
        <w:rPr>
          <w:b/>
          <w:color w:val="000000" w:themeColor="text1"/>
          <w:sz w:val="28"/>
          <w:szCs w:val="28"/>
        </w:rPr>
        <w:t xml:space="preserve"> hospodářství</w:t>
      </w:r>
      <w:bookmarkStart w:id="0" w:name="_GoBack"/>
      <w:bookmarkEnd w:id="0"/>
    </w:p>
    <w:p w:rsidR="00FE760C" w:rsidRPr="00D71210" w:rsidRDefault="00FE760C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</w:p>
    <w:p w:rsidR="005A4BD1" w:rsidRPr="00FB6AE5" w:rsidRDefault="005A4BD1" w:rsidP="00FE760C">
      <w:pPr>
        <w:pStyle w:val="Bezmezer"/>
        <w:jc w:val="both"/>
        <w:rPr>
          <w:sz w:val="22"/>
          <w:szCs w:val="22"/>
        </w:rPr>
      </w:pPr>
    </w:p>
    <w:p w:rsidR="005A4BD1" w:rsidRPr="00FE760C" w:rsidRDefault="005A4BD1" w:rsidP="00FE760C">
      <w:pPr>
        <w:pStyle w:val="Bezmezer"/>
        <w:jc w:val="both"/>
      </w:pPr>
      <w:r w:rsidRPr="00FE760C">
        <w:t>Zastupitelstvo obce Veverské Knínice  se na svém zasedání dne 14.</w:t>
      </w:r>
      <w:r w:rsidR="008E75B5">
        <w:t xml:space="preserve"> </w:t>
      </w:r>
      <w:r w:rsidRPr="00FE760C">
        <w:t xml:space="preserve">12.2023 usnesením </w:t>
      </w:r>
      <w:r w:rsidR="00FE760C">
        <w:br/>
      </w:r>
      <w:r w:rsidRPr="00FE760C">
        <w:t>č. 15/5/2023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5A4BD1" w:rsidRDefault="005A4BD1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1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Úvodní ustanovení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  <w:rPr>
          <w:color w:val="FF0000"/>
        </w:rPr>
      </w:pPr>
      <w:r w:rsidRPr="00FE760C">
        <w:t>Tato vyhláška stanovuje obecní systém odpadového hospodářství na území obce Veverské Knínice (dále jen obecní systém).</w:t>
      </w:r>
    </w:p>
    <w:p w:rsidR="005A4BD1" w:rsidRPr="00FE760C" w:rsidRDefault="005A4BD1" w:rsidP="00FE760C">
      <w:pPr>
        <w:pStyle w:val="Bezmezer"/>
        <w:jc w:val="both"/>
        <w:rPr>
          <w:color w:val="FF0000"/>
        </w:rPr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E760C">
        <w:rPr>
          <w:rStyle w:val="Znakapoznpodarou"/>
          <w:rFonts w:ascii="Arial" w:hAnsi="Arial" w:cs="Arial"/>
        </w:rPr>
        <w:footnoteReference w:id="1"/>
      </w:r>
      <w:r w:rsidRPr="00FE760C">
        <w:t>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 xml:space="preserve">V okamžiku, kdy osoba zapojená do obecního systému odloží movitou věc nebo odpad, </w:t>
      </w:r>
      <w:r w:rsidRPr="00FE760C">
        <w:br/>
        <w:t>s výjimkou výrobků s ukončenou životností, na místě obcí k tomuto účelu určeném, stává se obec vlastníkem této movité věci nebo odpadu</w:t>
      </w:r>
      <w:r w:rsidRPr="00FE760C">
        <w:rPr>
          <w:rStyle w:val="Znakapoznpodarou"/>
          <w:rFonts w:ascii="Arial" w:hAnsi="Arial" w:cs="Arial"/>
        </w:rPr>
        <w:footnoteReference w:id="2"/>
      </w:r>
      <w:r w:rsidRPr="00FE760C">
        <w:t xml:space="preserve">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A4BD1" w:rsidRPr="00FE760C" w:rsidRDefault="005A4BD1" w:rsidP="00FE760C">
      <w:pPr>
        <w:pStyle w:val="Bezmezer"/>
        <w:jc w:val="both"/>
      </w:pP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lastRenderedPageBreak/>
        <w:t>Čl. 2</w:t>
      </w:r>
    </w:p>
    <w:p w:rsidR="005A4BD1" w:rsidRPr="00FE760C" w:rsidRDefault="005A4BD1" w:rsidP="00FE760C">
      <w:pPr>
        <w:pStyle w:val="Bezmezer"/>
        <w:jc w:val="center"/>
      </w:pPr>
      <w:r w:rsidRPr="00FE760C">
        <w:rPr>
          <w:b/>
        </w:rPr>
        <w:t>Oddělené soustřeďování komunálního odpadu</w:t>
      </w:r>
    </w:p>
    <w:p w:rsidR="005A4BD1" w:rsidRPr="00FE760C" w:rsidRDefault="005A4BD1" w:rsidP="00FE760C">
      <w:pPr>
        <w:pStyle w:val="Bezmezer"/>
        <w:jc w:val="center"/>
      </w:pP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>Osoby předávající komunální odpad na místa určená obcí jsou povinny odděleně soustřeďovat následující složky:</w:t>
      </w:r>
    </w:p>
    <w:p w:rsidR="005A4BD1" w:rsidRPr="00FE760C" w:rsidRDefault="005A4BD1" w:rsidP="00FE760C">
      <w:pPr>
        <w:pStyle w:val="Bezmezer"/>
        <w:jc w:val="both"/>
        <w:rPr>
          <w:i/>
          <w:iCs/>
        </w:rPr>
      </w:pP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Biologické odpady</w:t>
      </w:r>
      <w:r w:rsidRPr="00FE760C">
        <w:rPr>
          <w:bCs/>
        </w:rPr>
        <w:t>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Papír,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Plasty včetně PET lahví,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Sklo,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Kovy,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bCs/>
          <w:color w:val="000000"/>
        </w:rPr>
        <w:t>Nebezpečné odpady,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Objemný odpad,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Jedlé oleje a tuky,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Dřevo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Směsný komunální odpad</w:t>
      </w: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>Směsným komunálním odpadem se rozumí zbylý komunální odpad po stanoveném vytřídění podle odstavce 1 písm. a), b), c), d), e), f), g), h) a i).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 xml:space="preserve">Objemný odpad je takový odpad, který vzhledem ke svým rozměrům nemůže být umístěn do sběrných nádob </w:t>
      </w:r>
      <w:r w:rsidRPr="00FE760C">
        <w:rPr>
          <w:color w:val="000000" w:themeColor="text1"/>
        </w:rPr>
        <w:t>(</w:t>
      </w:r>
      <w:r w:rsidRPr="00FE760C">
        <w:rPr>
          <w:iCs/>
          <w:color w:val="000000" w:themeColor="text1"/>
        </w:rPr>
        <w:t>např. koberce, matrace, nábytek,</w:t>
      </w:r>
      <w:proofErr w:type="gramStart"/>
      <w:r w:rsidRPr="00FE760C">
        <w:rPr>
          <w:iCs/>
          <w:color w:val="000000" w:themeColor="text1"/>
        </w:rPr>
        <w:t>…</w:t>
      </w:r>
      <w:r w:rsidRPr="00FE760C">
        <w:rPr>
          <w:color w:val="000000" w:themeColor="text1"/>
        </w:rPr>
        <w:t xml:space="preserve"> ).</w:t>
      </w:r>
      <w:proofErr w:type="gramEnd"/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3</w:t>
      </w:r>
    </w:p>
    <w:p w:rsidR="005A4BD1" w:rsidRPr="00FE760C" w:rsidRDefault="005A4BD1" w:rsidP="00FE760C">
      <w:pPr>
        <w:pStyle w:val="Bezmezer"/>
        <w:jc w:val="center"/>
      </w:pPr>
      <w:r w:rsidRPr="00FE760C">
        <w:rPr>
          <w:b/>
        </w:rPr>
        <w:t>Určení míst pro oddělené soustřeďování určených složek komunálního odpadu</w:t>
      </w:r>
    </w:p>
    <w:p w:rsidR="005A4BD1" w:rsidRPr="00FE760C" w:rsidRDefault="005A4BD1" w:rsidP="00FE760C">
      <w:pPr>
        <w:pStyle w:val="Bezmezer"/>
        <w:jc w:val="both"/>
        <w:rPr>
          <w:u w:val="single"/>
        </w:rPr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Papír, plasty, sklo, kovy, biologické odpady, jedlé oleje a tuky se soustřeďují do </w:t>
      </w:r>
      <w:r w:rsidRPr="00FE760C">
        <w:rPr>
          <w:bCs/>
        </w:rPr>
        <w:t>zvláštních sběrných nádob</w:t>
      </w:r>
      <w:r w:rsidRPr="00FE760C">
        <w:t xml:space="preserve">, kterými jsou </w:t>
      </w:r>
      <w:r w:rsidRPr="00FE760C">
        <w:rPr>
          <w:color w:val="000000" w:themeColor="text1"/>
        </w:rPr>
        <w:t>sběrné nádoby, velkoobjemové kontejnery.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Zvláštní sběrné nádoby jsou umístěny na těchto stanovištích: 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Sběrné nádoby na papír, sklo, plast jsou umístěny na 5 popelnicových hnízdech (vzhledem k tomu, že obec nemá pojmenované ulice, označení umístění je dle místně používaných názvů):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Podskalí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Plac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proofErr w:type="spellStart"/>
      <w:r w:rsidRPr="00FE760C">
        <w:rPr>
          <w:color w:val="000000" w:themeColor="text1"/>
        </w:rPr>
        <w:t>Oulehle</w:t>
      </w:r>
      <w:proofErr w:type="spellEnd"/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Za sokolovnou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bioodpad je umístěn: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Podskalí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Plac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proofErr w:type="spellStart"/>
      <w:r w:rsidRPr="00FE760C">
        <w:rPr>
          <w:color w:val="000000" w:themeColor="text1"/>
        </w:rPr>
        <w:t>Oulehle</w:t>
      </w:r>
      <w:proofErr w:type="spellEnd"/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Za sokolovnou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 xml:space="preserve">U </w:t>
      </w:r>
      <w:proofErr w:type="gramStart"/>
      <w:r w:rsidRPr="00FE760C">
        <w:rPr>
          <w:color w:val="000000" w:themeColor="text1"/>
        </w:rPr>
        <w:t>č.p.</w:t>
      </w:r>
      <w:proofErr w:type="gramEnd"/>
      <w:r w:rsidRPr="00FE760C">
        <w:rPr>
          <w:color w:val="000000" w:themeColor="text1"/>
        </w:rPr>
        <w:t xml:space="preserve"> 281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Na Skalce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kovy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objemný odpad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dřevo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lastRenderedPageBreak/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Uložení nebezpečného odpadu je umístěno v areálu bývalé fary.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Sběrná nádoba na jedlé oleje a tuky je umístěna v areálu bývalé fary.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>Zvláštní sběrné nádoby jsou barevně odlišeny a označeny příslušnými nápisy: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Biologické odpady, barva hnědá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Papír, barva modrá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FF0000"/>
        </w:rPr>
      </w:pPr>
      <w:r w:rsidRPr="00FE760C">
        <w:rPr>
          <w:bCs/>
          <w:color w:val="000000"/>
        </w:rPr>
        <w:t>Plasty, PET lahve, barva žlutá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Sklo, barva zelená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</w:rPr>
      </w:pPr>
      <w:r w:rsidRPr="00FE760C">
        <w:rPr>
          <w:bCs/>
          <w:color w:val="000000"/>
        </w:rPr>
        <w:t xml:space="preserve">Kovy, </w:t>
      </w:r>
      <w:r w:rsidRPr="00FE760C">
        <w:rPr>
          <w:bCs/>
          <w:color w:val="000000" w:themeColor="text1"/>
        </w:rPr>
        <w:t>velkoobjemový kontejner s nápisem KOVY)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Jedlé oleje a tuky, barva červená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 xml:space="preserve">Dřevo, </w:t>
      </w:r>
      <w:r w:rsidRPr="00FE760C">
        <w:rPr>
          <w:bCs/>
          <w:color w:val="000000" w:themeColor="text1"/>
        </w:rPr>
        <w:t>velkoobjemový kontejner s nápisem DŘEVO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Bioodpad, velkoobjemový kontejner s nápisem BIO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Velkoobjemový odpad, velkoobjemový kontejner s nápisem VELKOOBJEMOVÝ ODPAD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Nebezpečný odpad, velkoobjemový kontejner s nápisem NEBEZPEČNÝ ODPAD</w:t>
      </w:r>
    </w:p>
    <w:p w:rsidR="005A4BD1" w:rsidRPr="00FE760C" w:rsidRDefault="005A4BD1" w:rsidP="00FE760C">
      <w:pPr>
        <w:pStyle w:val="Bezmezer"/>
        <w:jc w:val="both"/>
        <w:rPr>
          <w:iCs/>
        </w:rPr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>Do zvláštních sběrných nádob je zakázáno ukládat jiné složky komunálních odpadů, než pro které jsou určeny.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Čl. 4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Svoz nebezpečných složek komunálního odpadu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 xml:space="preserve">Nebezpečný odpad lze </w:t>
      </w:r>
      <w:proofErr w:type="gramStart"/>
      <w:r w:rsidRPr="00FE760C">
        <w:t>odevzdávat  2 x měsíčně</w:t>
      </w:r>
      <w:proofErr w:type="gramEnd"/>
      <w:r w:rsidRPr="00FE760C">
        <w:t xml:space="preserve"> na sběrném stanovišti, které je umístěn v areálu bývalé fary.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>Soustřeďování nebezpečných složek komunálního odpadu podléhá požadavkům stanoveným v čl. 3 odst. 4 a 5.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>Nebezpečný odpad je možné odevzdat také na sběrném dvoře smluvní obce. Informace o tomto sběrném dvoře je umístěna na stránkách obce.</w:t>
      </w:r>
    </w:p>
    <w:p w:rsidR="005A4BD1" w:rsidRPr="00FE760C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center"/>
        <w:rPr>
          <w:b/>
        </w:rPr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5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Svoz objemného odpadu</w:t>
      </w:r>
    </w:p>
    <w:p w:rsidR="005A4BD1" w:rsidRPr="00FE760C" w:rsidRDefault="005A4BD1" w:rsidP="00FE760C">
      <w:pPr>
        <w:pStyle w:val="Bezmezer"/>
        <w:jc w:val="center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 xml:space="preserve">Objemný odpad lze odevzdávat 2 x měsíčně na sběrném stanovišti, které je umístěn v areálu bývalé fary. 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 xml:space="preserve">Soustřeďování objemného odpadu podléhá požadavkům stanoveným v čl. 3 odst. 4 a 5.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>Objemný odpad je možné odevzdat také na sběrném dvoře smluvní obce. Informace o tomto sběrném dvoře je umístěna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6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Soustřeďování směsného komunálního odpadu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9"/>
        </w:numPr>
        <w:jc w:val="both"/>
        <w:rPr>
          <w:i/>
          <w:color w:val="00B0F0"/>
        </w:rPr>
      </w:pPr>
      <w:r w:rsidRPr="00FE760C">
        <w:t>Směsný komunální odpad se odkládá do sběrných nádob. Pro účely této vyhlášky se sběrnými nádobami rozumějí</w:t>
      </w:r>
      <w:r w:rsidRPr="00FE760C">
        <w:rPr>
          <w:color w:val="00B0F0"/>
        </w:rPr>
        <w:t>:</w:t>
      </w:r>
      <w:r w:rsidRPr="00FE760C">
        <w:rPr>
          <w:i/>
          <w:color w:val="00B0F0"/>
        </w:rPr>
        <w:t xml:space="preserve"> </w:t>
      </w:r>
    </w:p>
    <w:p w:rsidR="005A4BD1" w:rsidRPr="00FE760C" w:rsidRDefault="005A4BD1" w:rsidP="00FE760C">
      <w:pPr>
        <w:pStyle w:val="Bezmezer"/>
        <w:numPr>
          <w:ilvl w:val="0"/>
          <w:numId w:val="20"/>
        </w:numPr>
        <w:jc w:val="both"/>
        <w:rPr>
          <w:color w:val="000000" w:themeColor="text1"/>
        </w:rPr>
      </w:pPr>
      <w:r w:rsidRPr="00FE760C">
        <w:rPr>
          <w:bCs/>
          <w:color w:val="000000" w:themeColor="text1"/>
        </w:rPr>
        <w:t>popelnice</w:t>
      </w:r>
    </w:p>
    <w:p w:rsidR="00FE760C" w:rsidRPr="00FE760C" w:rsidRDefault="005A4BD1" w:rsidP="00FE760C">
      <w:pPr>
        <w:pStyle w:val="Bezmezer"/>
        <w:numPr>
          <w:ilvl w:val="0"/>
          <w:numId w:val="20"/>
        </w:numPr>
        <w:jc w:val="both"/>
        <w:rPr>
          <w:color w:val="000000" w:themeColor="text1"/>
        </w:rPr>
      </w:pPr>
      <w:r w:rsidRPr="00FE760C">
        <w:rPr>
          <w:bCs/>
          <w:color w:val="000000" w:themeColor="text1"/>
        </w:rPr>
        <w:t>odpadkové koše, které jsou umístěny na veřejných prostranstvích obci sloužící pro odkládání drobného</w:t>
      </w:r>
      <w:r w:rsidR="00FE760C" w:rsidRPr="00FE760C">
        <w:rPr>
          <w:bCs/>
          <w:color w:val="000000" w:themeColor="text1"/>
        </w:rPr>
        <w:t xml:space="preserve"> </w:t>
      </w:r>
      <w:r w:rsidRPr="00FE760C">
        <w:rPr>
          <w:bCs/>
          <w:color w:val="000000" w:themeColor="text1"/>
        </w:rPr>
        <w:t>směsného komunálního odpadu</w:t>
      </w:r>
    </w:p>
    <w:p w:rsidR="005A4BD1" w:rsidRPr="00FE760C" w:rsidRDefault="005A4BD1" w:rsidP="00FE760C">
      <w:pPr>
        <w:pStyle w:val="Bezmezer"/>
        <w:ind w:left="360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numPr>
          <w:ilvl w:val="0"/>
          <w:numId w:val="19"/>
        </w:numPr>
        <w:jc w:val="both"/>
        <w:rPr>
          <w:color w:val="00B0F0"/>
        </w:rPr>
      </w:pPr>
      <w:r w:rsidRPr="00FE760C">
        <w:t xml:space="preserve">Soustřeďování směsného komunálního odpadu podléhá požadavkům stanoveným </w:t>
      </w:r>
      <w:r w:rsidRPr="00FE760C">
        <w:br/>
        <w:t xml:space="preserve">v čl. 3 odst. 4 a 5. 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7</w:t>
      </w:r>
    </w:p>
    <w:p w:rsidR="005A4BD1" w:rsidRPr="00FE760C" w:rsidRDefault="005A4BD1" w:rsidP="00FE760C">
      <w:pPr>
        <w:pStyle w:val="Bezmezer"/>
        <w:jc w:val="center"/>
        <w:rPr>
          <w:bCs/>
        </w:rPr>
      </w:pPr>
      <w:r w:rsidRPr="00FE760C">
        <w:rPr>
          <w:b/>
          <w:bCs/>
        </w:rPr>
        <w:t>Nakládání s movitými věcmi v rámci předcházení vzniku odpadu</w:t>
      </w:r>
    </w:p>
    <w:p w:rsidR="005A4BD1" w:rsidRPr="00FE760C" w:rsidRDefault="005A4BD1" w:rsidP="00FE760C">
      <w:pPr>
        <w:pStyle w:val="Bezmezer"/>
        <w:jc w:val="both"/>
        <w:rPr>
          <w:bCs/>
        </w:rPr>
      </w:pPr>
    </w:p>
    <w:p w:rsidR="005A4BD1" w:rsidRPr="00FE760C" w:rsidRDefault="005A4BD1" w:rsidP="00FE760C">
      <w:pPr>
        <w:pStyle w:val="Bezmezer"/>
        <w:numPr>
          <w:ilvl w:val="0"/>
          <w:numId w:val="21"/>
        </w:numPr>
        <w:jc w:val="both"/>
      </w:pPr>
      <w:r w:rsidRPr="00FE760C">
        <w:t>Obec v rámci předcházení vzniku odpadu za účelem jejich opětovného použití nakládá s těmito movitými věcmi: oděvy a textil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  <w:r w:rsidRPr="00FE760C">
        <w:tab/>
      </w:r>
    </w:p>
    <w:p w:rsidR="005A4BD1" w:rsidRPr="00FE760C" w:rsidRDefault="005A4BD1" w:rsidP="00FE760C">
      <w:pPr>
        <w:pStyle w:val="Bezmezer"/>
        <w:numPr>
          <w:ilvl w:val="0"/>
          <w:numId w:val="21"/>
        </w:numPr>
        <w:jc w:val="both"/>
      </w:pPr>
      <w:r w:rsidRPr="00FE760C">
        <w:t>Informace o místech, na kterých lze předávat movité věci uvedené v </w:t>
      </w:r>
      <w:proofErr w:type="gramStart"/>
      <w:r w:rsidRPr="00FE760C">
        <w:t>odst.1 je</w:t>
      </w:r>
      <w:proofErr w:type="gramEnd"/>
      <w:r w:rsidRPr="00FE760C">
        <w:t xml:space="preserve"> zveřejněna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8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Nakládání s výrobky s ukončenou životností v rámci služby pro výrobce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(zpětný odběr)</w:t>
      </w:r>
    </w:p>
    <w:p w:rsidR="005A4BD1" w:rsidRPr="00FE760C" w:rsidRDefault="005A4BD1" w:rsidP="00FE760C">
      <w:pPr>
        <w:pStyle w:val="Bezmezer"/>
        <w:numPr>
          <w:ilvl w:val="0"/>
          <w:numId w:val="22"/>
        </w:numPr>
        <w:jc w:val="both"/>
      </w:pPr>
      <w:r w:rsidRPr="00FE760C">
        <w:t xml:space="preserve">Obec v rámci služby pro výrobce nakládá s těmito výrobky s ukončenou životností: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23"/>
        </w:numPr>
        <w:jc w:val="both"/>
      </w:pPr>
      <w:r w:rsidRPr="00FE760C">
        <w:t>elektrozařízení</w:t>
      </w:r>
    </w:p>
    <w:p w:rsidR="005A4BD1" w:rsidRPr="00FE760C" w:rsidRDefault="005A4BD1" w:rsidP="00FE760C">
      <w:pPr>
        <w:pStyle w:val="Bezmezer"/>
        <w:numPr>
          <w:ilvl w:val="0"/>
          <w:numId w:val="23"/>
        </w:numPr>
        <w:jc w:val="both"/>
      </w:pPr>
      <w:r w:rsidRPr="00FE760C">
        <w:t>baterie a akumulátory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22"/>
        </w:numPr>
        <w:jc w:val="both"/>
      </w:pPr>
      <w:r w:rsidRPr="00FE760C">
        <w:t>Informace o místech, na kterých lze předávat výrobky s ukončenou životností uvedené v </w:t>
      </w:r>
      <w:proofErr w:type="gramStart"/>
      <w:r w:rsidRPr="00FE760C">
        <w:t>odst.1 je</w:t>
      </w:r>
      <w:proofErr w:type="gramEnd"/>
      <w:r w:rsidRPr="00FE760C">
        <w:t xml:space="preserve"> zveřejněna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9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Nakládání se stavebním a demoličním odpadem</w:t>
      </w:r>
      <w:r w:rsidRPr="00FE760C">
        <w:rPr>
          <w:b/>
        </w:rPr>
        <w:br/>
      </w:r>
    </w:p>
    <w:p w:rsidR="005A4BD1" w:rsidRPr="00FE760C" w:rsidRDefault="005A4BD1" w:rsidP="00FE760C">
      <w:pPr>
        <w:pStyle w:val="Bezmezer"/>
        <w:numPr>
          <w:ilvl w:val="0"/>
          <w:numId w:val="24"/>
        </w:numPr>
        <w:jc w:val="both"/>
      </w:pPr>
      <w:r w:rsidRPr="00FE760C">
        <w:t xml:space="preserve">Stavebním odpadem a demoličním odpadem se rozumí odpad vznikající při stavebních </w:t>
      </w:r>
      <w:r w:rsidRPr="00FE760C">
        <w:br/>
        <w:t>a demoličních činnostech nepodnikajících fyzických osob. Stavební a demoliční odpad není odpadem komunálním.</w:t>
      </w:r>
    </w:p>
    <w:p w:rsidR="005A4BD1" w:rsidRPr="00FE760C" w:rsidRDefault="005A4BD1" w:rsidP="00FE760C">
      <w:pPr>
        <w:pStyle w:val="Bezmezer"/>
        <w:jc w:val="both"/>
      </w:pPr>
    </w:p>
    <w:p w:rsidR="005A4BD1" w:rsidRDefault="005A4BD1" w:rsidP="00FE760C">
      <w:pPr>
        <w:pStyle w:val="Bezmezer"/>
        <w:numPr>
          <w:ilvl w:val="0"/>
          <w:numId w:val="24"/>
        </w:numPr>
        <w:jc w:val="both"/>
      </w:pPr>
      <w:r w:rsidRPr="00FE760C">
        <w:t>Stavební a demoliční odpad lze předávat 2x měsíčně na sběrném stanovišti, které je umístěno v areálu bývalé fary a na sběrném dvoře smluvní obce. Informace o tomto sběrném dvoře je umístěna na stránkách obce.</w:t>
      </w:r>
    </w:p>
    <w:p w:rsidR="00FE760C" w:rsidRDefault="00FE760C" w:rsidP="00FE760C">
      <w:pPr>
        <w:pStyle w:val="Odstavecseseznamem"/>
      </w:pPr>
    </w:p>
    <w:p w:rsidR="005A4BD1" w:rsidRPr="00FE760C" w:rsidRDefault="00FE760C" w:rsidP="00FE760C">
      <w:pPr>
        <w:pStyle w:val="Bezmezer"/>
        <w:numPr>
          <w:ilvl w:val="0"/>
          <w:numId w:val="24"/>
        </w:numPr>
        <w:jc w:val="both"/>
      </w:pPr>
      <w:r>
        <w:lastRenderedPageBreak/>
        <w:t>F</w:t>
      </w:r>
      <w:r w:rsidR="005A4BD1" w:rsidRPr="00FE760C">
        <w:t xml:space="preserve">yzické osoby mohou předávat stavební a demoliční odpad na určených místech při jednotlivých předáních o maximální hmotnosti 30 kg. </w:t>
      </w: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10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Účinnost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  <w:r w:rsidRPr="00FE760C">
        <w:t xml:space="preserve">Tato vyhláška nabývá účinnosti dnem </w:t>
      </w:r>
      <w:proofErr w:type="gramStart"/>
      <w:r w:rsidRPr="00FE760C">
        <w:t>01.01.2024</w:t>
      </w:r>
      <w:proofErr w:type="gramEnd"/>
      <w:r w:rsidRPr="00FE760C">
        <w:t xml:space="preserve">. </w:t>
      </w: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  <w:rPr>
          <w:bCs/>
        </w:rPr>
      </w:pPr>
      <w:r w:rsidRPr="00FE760C">
        <w:rPr>
          <w:bCs/>
        </w:rPr>
        <w:t xml:space="preserve">Vladimír Krejčí </w:t>
      </w:r>
      <w:proofErr w:type="gramStart"/>
      <w:r w:rsidRPr="00FE760C">
        <w:rPr>
          <w:bCs/>
        </w:rPr>
        <w:t>v.r.</w:t>
      </w:r>
      <w:proofErr w:type="gramEnd"/>
      <w:r w:rsidRPr="00FE760C">
        <w:rPr>
          <w:bCs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</w:rPr>
        <w:t>Zuzana Armutidisová</w:t>
      </w:r>
      <w:r w:rsidRPr="00FE760C">
        <w:rPr>
          <w:bCs/>
        </w:rPr>
        <w:tab/>
        <w:t>v.r.</w:t>
      </w:r>
    </w:p>
    <w:p w:rsidR="005A4BD1" w:rsidRPr="00FE760C" w:rsidRDefault="005A4BD1" w:rsidP="00FE760C">
      <w:pPr>
        <w:pStyle w:val="Bezmezer"/>
        <w:jc w:val="both"/>
        <w:rPr>
          <w:bCs/>
        </w:rPr>
      </w:pPr>
      <w:r w:rsidRPr="00FE760C">
        <w:rPr>
          <w:bCs/>
        </w:rPr>
        <w:t>………………...…..</w:t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  <w:t xml:space="preserve">                           …………………………..</w:t>
      </w:r>
    </w:p>
    <w:p w:rsidR="005A4BD1" w:rsidRPr="00FE760C" w:rsidRDefault="00FE760C" w:rsidP="00FE760C">
      <w:pPr>
        <w:pStyle w:val="Bezmezer"/>
        <w:jc w:val="both"/>
        <w:rPr>
          <w:bCs/>
        </w:rPr>
      </w:pPr>
      <w:r w:rsidRPr="00FE760C">
        <w:rPr>
          <w:bCs/>
        </w:rPr>
        <w:t xml:space="preserve"> Jméno Příjmení</w:t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  <w:t xml:space="preserve">                     </w:t>
      </w:r>
      <w:r w:rsidR="005A4BD1" w:rsidRPr="00FE760C">
        <w:rPr>
          <w:bCs/>
        </w:rPr>
        <w:t>Jméno Příjmení</w:t>
      </w:r>
    </w:p>
    <w:p w:rsidR="005A4BD1" w:rsidRPr="00D96834" w:rsidRDefault="00FE760C" w:rsidP="00FE760C">
      <w:pPr>
        <w:pStyle w:val="Bezmezer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5A4BD1" w:rsidRPr="00D96834">
        <w:rPr>
          <w:bCs/>
          <w:sz w:val="22"/>
          <w:szCs w:val="22"/>
        </w:rPr>
        <w:t>místostarosta</w:t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        </w:t>
      </w:r>
      <w:r w:rsidR="005A4BD1">
        <w:rPr>
          <w:bCs/>
          <w:sz w:val="22"/>
          <w:szCs w:val="22"/>
        </w:rPr>
        <w:t xml:space="preserve">  </w:t>
      </w:r>
      <w:r w:rsidR="005A4BD1" w:rsidRPr="00D96834">
        <w:rPr>
          <w:bCs/>
          <w:sz w:val="22"/>
          <w:szCs w:val="22"/>
        </w:rPr>
        <w:t>starosta</w:t>
      </w:r>
    </w:p>
    <w:p w:rsidR="006A1C8A" w:rsidRPr="006A1C8A" w:rsidRDefault="006A1C8A" w:rsidP="00FE760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 w:rsidRPr="006A1C8A">
        <w:rPr>
          <w:b/>
          <w:bCs/>
          <w:spacing w:val="40"/>
          <w:sz w:val="32"/>
          <w:szCs w:val="32"/>
          <w:u w:val="none"/>
        </w:rPr>
        <w:t xml:space="preserve">                                                             </w:t>
      </w:r>
    </w:p>
    <w:sectPr w:rsidR="006A1C8A" w:rsidRPr="006A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AEA" w:rsidRDefault="00D13AEA" w:rsidP="006A1C8A">
      <w:pPr>
        <w:spacing w:after="0" w:line="240" w:lineRule="auto"/>
      </w:pPr>
      <w:r>
        <w:separator/>
      </w:r>
    </w:p>
  </w:endnote>
  <w:endnote w:type="continuationSeparator" w:id="0">
    <w:p w:rsidR="00D13AEA" w:rsidRDefault="00D13AEA" w:rsidP="006A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AEA" w:rsidRDefault="00D13AEA" w:rsidP="006A1C8A">
      <w:pPr>
        <w:spacing w:after="0" w:line="240" w:lineRule="auto"/>
      </w:pPr>
      <w:r>
        <w:separator/>
      </w:r>
    </w:p>
  </w:footnote>
  <w:footnote w:type="continuationSeparator" w:id="0">
    <w:p w:rsidR="00D13AEA" w:rsidRDefault="00D13AEA" w:rsidP="006A1C8A">
      <w:pPr>
        <w:spacing w:after="0" w:line="240" w:lineRule="auto"/>
      </w:pPr>
      <w:r>
        <w:continuationSeparator/>
      </w:r>
    </w:p>
  </w:footnote>
  <w:footnote w:id="1">
    <w:p w:rsidR="005A4BD1" w:rsidRPr="00DF28D8" w:rsidRDefault="005A4BD1" w:rsidP="005A4BD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A4BD1" w:rsidRDefault="005A4BD1" w:rsidP="005A4BD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1322CD"/>
    <w:multiLevelType w:val="hybridMultilevel"/>
    <w:tmpl w:val="9918A9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6390"/>
    <w:multiLevelType w:val="hybridMultilevel"/>
    <w:tmpl w:val="CDC69E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C3A"/>
    <w:multiLevelType w:val="hybridMultilevel"/>
    <w:tmpl w:val="017E9474"/>
    <w:lvl w:ilvl="0" w:tplc="947AA1CA">
      <w:start w:val="1"/>
      <w:numFmt w:val="decimal"/>
      <w:lvlText w:val="%1)"/>
      <w:lvlJc w:val="left"/>
      <w:pPr>
        <w:ind w:left="720" w:hanging="360"/>
      </w:pPr>
      <w:rPr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CC5"/>
    <w:multiLevelType w:val="hybridMultilevel"/>
    <w:tmpl w:val="44A2819A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1C1323"/>
    <w:multiLevelType w:val="hybridMultilevel"/>
    <w:tmpl w:val="CFB881E6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8593B"/>
    <w:multiLevelType w:val="hybridMultilevel"/>
    <w:tmpl w:val="F8B84532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C0707"/>
    <w:multiLevelType w:val="hybridMultilevel"/>
    <w:tmpl w:val="3460C1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E1F43"/>
    <w:multiLevelType w:val="hybridMultilevel"/>
    <w:tmpl w:val="17768876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44E1C90"/>
    <w:multiLevelType w:val="hybridMultilevel"/>
    <w:tmpl w:val="19BEE598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0865F8"/>
    <w:multiLevelType w:val="hybridMultilevel"/>
    <w:tmpl w:val="D93A1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4D4A57"/>
    <w:multiLevelType w:val="hybridMultilevel"/>
    <w:tmpl w:val="61661DCE"/>
    <w:lvl w:ilvl="0" w:tplc="A8FA037C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72C6C"/>
    <w:multiLevelType w:val="hybridMultilevel"/>
    <w:tmpl w:val="D570C5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7957EA8"/>
    <w:multiLevelType w:val="hybridMultilevel"/>
    <w:tmpl w:val="F1282E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126E3"/>
    <w:multiLevelType w:val="hybridMultilevel"/>
    <w:tmpl w:val="527600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82278DF"/>
    <w:multiLevelType w:val="hybridMultilevel"/>
    <w:tmpl w:val="92647312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21"/>
  </w:num>
  <w:num w:numId="5">
    <w:abstractNumId w:val="6"/>
  </w:num>
  <w:num w:numId="6">
    <w:abstractNumId w:val="0"/>
  </w:num>
  <w:num w:numId="7">
    <w:abstractNumId w:val="13"/>
  </w:num>
  <w:num w:numId="8">
    <w:abstractNumId w:val="5"/>
  </w:num>
  <w:num w:numId="9">
    <w:abstractNumId w:val="15"/>
  </w:num>
  <w:num w:numId="10">
    <w:abstractNumId w:val="16"/>
  </w:num>
  <w:num w:numId="11">
    <w:abstractNumId w:val="9"/>
  </w:num>
  <w:num w:numId="12">
    <w:abstractNumId w:val="7"/>
  </w:num>
  <w:num w:numId="13">
    <w:abstractNumId w:val="1"/>
  </w:num>
  <w:num w:numId="14">
    <w:abstractNumId w:val="4"/>
  </w:num>
  <w:num w:numId="15">
    <w:abstractNumId w:val="10"/>
  </w:num>
  <w:num w:numId="16">
    <w:abstractNumId w:val="12"/>
  </w:num>
  <w:num w:numId="17">
    <w:abstractNumId w:val="17"/>
  </w:num>
  <w:num w:numId="18">
    <w:abstractNumId w:val="2"/>
  </w:num>
  <w:num w:numId="19">
    <w:abstractNumId w:val="3"/>
  </w:num>
  <w:num w:numId="20">
    <w:abstractNumId w:val="8"/>
  </w:num>
  <w:num w:numId="21">
    <w:abstractNumId w:val="14"/>
  </w:num>
  <w:num w:numId="22">
    <w:abstractNumId w:val="19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8A"/>
    <w:rsid w:val="001705CA"/>
    <w:rsid w:val="00345E86"/>
    <w:rsid w:val="005A4BD1"/>
    <w:rsid w:val="006A1C8A"/>
    <w:rsid w:val="008D7B98"/>
    <w:rsid w:val="008E75B5"/>
    <w:rsid w:val="0091716B"/>
    <w:rsid w:val="009F584E"/>
    <w:rsid w:val="00B93B25"/>
    <w:rsid w:val="00D13AEA"/>
    <w:rsid w:val="00FB2022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F7D1-E505-4100-BEF2-71D05EA3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6A1C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A1C8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6A1C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A1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A1C8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1C8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A1C8A"/>
    <w:rPr>
      <w:vertAlign w:val="superscript"/>
    </w:rPr>
  </w:style>
  <w:style w:type="paragraph" w:customStyle="1" w:styleId="slalnk">
    <w:name w:val="Čísla článků"/>
    <w:basedOn w:val="Normln"/>
    <w:rsid w:val="006A1C8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A1C8A"/>
    <w:pPr>
      <w:spacing w:before="60" w:after="160"/>
    </w:pPr>
  </w:style>
  <w:style w:type="paragraph" w:styleId="Bezmezer">
    <w:name w:val="No Spacing"/>
    <w:uiPriority w:val="1"/>
    <w:qFormat/>
    <w:rsid w:val="005A4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None None</cp:lastModifiedBy>
  <cp:revision>2</cp:revision>
  <dcterms:created xsi:type="dcterms:W3CDTF">2024-02-16T10:07:00Z</dcterms:created>
  <dcterms:modified xsi:type="dcterms:W3CDTF">2024-02-16T10:07:00Z</dcterms:modified>
</cp:coreProperties>
</file>