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CD16F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Františkovy Lázně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16E07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70727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E1350D">
        <w:rPr>
          <w:rFonts w:ascii="Arial" w:hAnsi="Arial" w:cs="Arial"/>
          <w:b w:val="0"/>
          <w:sz w:val="22"/>
          <w:szCs w:val="22"/>
        </w:rPr>
        <w:t xml:space="preserve">města </w:t>
      </w:r>
      <w:r w:rsidR="00707275">
        <w:rPr>
          <w:rFonts w:ascii="Arial" w:hAnsi="Arial" w:cs="Arial"/>
          <w:b w:val="0"/>
          <w:sz w:val="22"/>
          <w:szCs w:val="22"/>
        </w:rPr>
        <w:t xml:space="preserve"> </w:t>
      </w:r>
      <w:r w:rsidR="00716E07">
        <w:rPr>
          <w:rFonts w:ascii="Arial" w:hAnsi="Arial" w:cs="Arial"/>
          <w:b w:val="0"/>
          <w:sz w:val="22"/>
          <w:szCs w:val="22"/>
        </w:rPr>
        <w:t xml:space="preserve">Františkovy Lázně </w:t>
      </w:r>
      <w:r w:rsidRPr="002E0EAD">
        <w:rPr>
          <w:rFonts w:ascii="Arial" w:hAnsi="Arial" w:cs="Arial"/>
          <w:b w:val="0"/>
          <w:sz w:val="22"/>
          <w:szCs w:val="22"/>
        </w:rPr>
        <w:t xml:space="preserve">se </w:t>
      </w:r>
      <w:r w:rsidR="00707275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na svém zasedání dne </w:t>
      </w:r>
      <w:r w:rsidR="006A74FD">
        <w:rPr>
          <w:rFonts w:ascii="Arial" w:hAnsi="Arial" w:cs="Arial"/>
          <w:b w:val="0"/>
          <w:sz w:val="22"/>
          <w:szCs w:val="22"/>
        </w:rPr>
        <w:t>1</w:t>
      </w:r>
      <w:r w:rsidR="007D6AE7">
        <w:rPr>
          <w:rFonts w:ascii="Arial" w:hAnsi="Arial" w:cs="Arial"/>
          <w:b w:val="0"/>
          <w:sz w:val="22"/>
          <w:szCs w:val="22"/>
        </w:rPr>
        <w:t>2.</w:t>
      </w:r>
      <w:r w:rsidR="00681ED2">
        <w:rPr>
          <w:rFonts w:ascii="Arial" w:hAnsi="Arial" w:cs="Arial"/>
          <w:b w:val="0"/>
          <w:sz w:val="22"/>
          <w:szCs w:val="22"/>
        </w:rPr>
        <w:t xml:space="preserve"> 1</w:t>
      </w:r>
      <w:r w:rsidR="006A74FD">
        <w:rPr>
          <w:rFonts w:ascii="Arial" w:hAnsi="Arial" w:cs="Arial"/>
          <w:b w:val="0"/>
          <w:sz w:val="22"/>
          <w:szCs w:val="22"/>
        </w:rPr>
        <w:t>1</w:t>
      </w:r>
      <w:r w:rsidR="00681ED2">
        <w:rPr>
          <w:rFonts w:ascii="Arial" w:hAnsi="Arial" w:cs="Arial"/>
          <w:b w:val="0"/>
          <w:sz w:val="22"/>
          <w:szCs w:val="22"/>
        </w:rPr>
        <w:t>. 202</w:t>
      </w:r>
      <w:r w:rsidR="00E034FF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</w:p>
    <w:p w:rsidR="0070727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4C49AA">
        <w:rPr>
          <w:rFonts w:ascii="Arial" w:hAnsi="Arial" w:cs="Arial"/>
          <w:b w:val="0"/>
          <w:sz w:val="22"/>
          <w:szCs w:val="22"/>
        </w:rPr>
        <w:t>27/351</w:t>
      </w:r>
      <w:bookmarkStart w:id="0" w:name="_GoBack"/>
      <w:bookmarkEnd w:id="0"/>
      <w:r w:rsidR="00E034FF">
        <w:rPr>
          <w:rFonts w:ascii="Arial" w:hAnsi="Arial" w:cs="Arial"/>
          <w:b w:val="0"/>
          <w:sz w:val="22"/>
          <w:szCs w:val="22"/>
        </w:rPr>
        <w:t xml:space="preserve">/25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pozdějších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předpisů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jen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„zákon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>o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místních 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souladu s § 10 </w:t>
      </w:r>
    </w:p>
    <w:p w:rsidR="00131160" w:rsidRPr="002E0EAD" w:rsidRDefault="00131160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bCs w:val="0"/>
          <w:sz w:val="22"/>
          <w:szCs w:val="22"/>
        </w:rPr>
        <w:t>písm. d)</w:t>
      </w:r>
      <w:r w:rsidR="0070727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716E07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Františkovy Lázně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16E07">
        <w:rPr>
          <w:rFonts w:ascii="Arial" w:hAnsi="Arial" w:cs="Arial"/>
          <w:sz w:val="22"/>
          <w:szCs w:val="22"/>
        </w:rPr>
        <w:t>Městský úřad Františkovy Lázně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E1350D">
        <w:rPr>
          <w:rFonts w:ascii="Arial" w:hAnsi="Arial" w:cs="Arial"/>
          <w:color w:val="000000"/>
          <w:sz w:val="22"/>
          <w:szCs w:val="22"/>
        </w:rPr>
        <w:t>města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020A3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020A3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</w:t>
      </w:r>
      <w:r w:rsidR="002923AF">
        <w:rPr>
          <w:rFonts w:ascii="Arial" w:hAnsi="Arial" w:cs="Arial"/>
          <w:sz w:val="22"/>
          <w:szCs w:val="22"/>
        </w:rPr>
        <w:t>a</w:t>
      </w:r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330165" w:rsidRDefault="00330165" w:rsidP="00C20BBA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C20BBA">
        <w:rPr>
          <w:rFonts w:ascii="Arial" w:hAnsi="Arial" w:cs="Arial"/>
          <w:sz w:val="22"/>
          <w:szCs w:val="22"/>
        </w:rPr>
        <w:t xml:space="preserve">Sazba poplatku činí </w:t>
      </w:r>
      <w:r w:rsidR="007E48FC" w:rsidRPr="00C20BBA">
        <w:rPr>
          <w:rFonts w:ascii="Arial" w:hAnsi="Arial" w:cs="Arial"/>
          <w:sz w:val="22"/>
          <w:szCs w:val="22"/>
        </w:rPr>
        <w:t>0,</w:t>
      </w:r>
      <w:r w:rsidR="00C80EC2">
        <w:rPr>
          <w:rFonts w:ascii="Arial" w:hAnsi="Arial" w:cs="Arial"/>
          <w:sz w:val="22"/>
          <w:szCs w:val="22"/>
        </w:rPr>
        <w:t>40</w:t>
      </w:r>
      <w:r w:rsidRPr="00C20BBA">
        <w:rPr>
          <w:rFonts w:ascii="Arial" w:hAnsi="Arial" w:cs="Arial"/>
          <w:sz w:val="22"/>
          <w:szCs w:val="22"/>
        </w:rPr>
        <w:t xml:space="preserve"> Kč za l.</w:t>
      </w:r>
    </w:p>
    <w:p w:rsidR="00C20BBA" w:rsidRDefault="00C20BBA" w:rsidP="00C20BBA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poplatku v návaznosti na objednanou kapacitu (objem) soustřeďovacích prostředků (sběrných nádob) a počet svozů: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01"/>
        <w:gridCol w:w="1044"/>
        <w:gridCol w:w="1933"/>
        <w:gridCol w:w="1984"/>
      </w:tblGrid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  <w:b/>
                <w:bCs/>
              </w:rPr>
            </w:pPr>
            <w:r w:rsidRPr="00CF7A1D">
              <w:rPr>
                <w:rFonts w:ascii="Arial" w:hAnsi="Arial" w:cs="Arial"/>
                <w:b/>
                <w:bCs/>
              </w:rPr>
              <w:t>Objem nádoby</w:t>
            </w:r>
          </w:p>
          <w:p w:rsidR="00C20BBA" w:rsidRPr="00CF7A1D" w:rsidRDefault="00C20BBA" w:rsidP="00D81A41">
            <w:pPr>
              <w:jc w:val="center"/>
              <w:rPr>
                <w:color w:val="000000"/>
                <w:spacing w:val="-2"/>
                <w:sz w:val="20"/>
              </w:rPr>
            </w:pPr>
            <w:r w:rsidRPr="00CF7A1D">
              <w:rPr>
                <w:rFonts w:ascii="Arial" w:hAnsi="Arial" w:cs="Arial"/>
                <w:b/>
                <w:bCs/>
              </w:rPr>
              <w:t>(litry)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color w:val="000000"/>
                <w:spacing w:val="10"/>
                <w:sz w:val="20"/>
              </w:rPr>
            </w:pPr>
            <w:r w:rsidRPr="00CF7A1D">
              <w:rPr>
                <w:rFonts w:ascii="Arial" w:hAnsi="Arial" w:cs="Arial"/>
                <w:b/>
                <w:bCs/>
              </w:rPr>
              <w:t>Četnost vývozu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CF7A1D">
              <w:rPr>
                <w:rFonts w:ascii="Arial" w:hAnsi="Arial" w:cs="Arial"/>
                <w:b/>
                <w:bCs/>
              </w:rPr>
              <w:t>Počet výsypů</w:t>
            </w:r>
          </w:p>
          <w:p w:rsidR="00C20BBA" w:rsidRPr="00CF7A1D" w:rsidRDefault="00C20BBA" w:rsidP="00D81A41">
            <w:pPr>
              <w:jc w:val="center"/>
            </w:pPr>
            <w:r w:rsidRPr="00CF7A1D">
              <w:rPr>
                <w:rFonts w:ascii="Arial" w:hAnsi="Arial" w:cs="Arial"/>
                <w:b/>
                <w:bCs/>
              </w:rPr>
              <w:t>za rok</w:t>
            </w:r>
          </w:p>
        </w:tc>
        <w:tc>
          <w:tcPr>
            <w:tcW w:w="1933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CF7A1D">
              <w:rPr>
                <w:rFonts w:ascii="Arial" w:hAnsi="Arial" w:cs="Arial"/>
                <w:b/>
                <w:bCs/>
              </w:rPr>
              <w:t xml:space="preserve">Výše poplatku </w:t>
            </w:r>
          </w:p>
          <w:p w:rsidR="00C20BBA" w:rsidRPr="00CF7A1D" w:rsidRDefault="00C20BBA" w:rsidP="00D81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CF7A1D">
              <w:rPr>
                <w:rFonts w:ascii="Arial" w:hAnsi="Arial" w:cs="Arial"/>
                <w:b/>
                <w:bCs/>
              </w:rPr>
              <w:t xml:space="preserve">v Kč za </w:t>
            </w:r>
          </w:p>
          <w:p w:rsidR="00C20BBA" w:rsidRPr="00CF7A1D" w:rsidRDefault="00C20BBA" w:rsidP="00D81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CF7A1D">
              <w:rPr>
                <w:rFonts w:ascii="Arial" w:hAnsi="Arial" w:cs="Arial"/>
                <w:b/>
                <w:bCs/>
              </w:rPr>
              <w:t>měsíc</w:t>
            </w:r>
          </w:p>
          <w:p w:rsidR="00C20BBA" w:rsidRPr="00CF7A1D" w:rsidRDefault="00C20BBA" w:rsidP="00D81A41">
            <w:pPr>
              <w:jc w:val="center"/>
              <w:rPr>
                <w:color w:val="000000"/>
                <w:spacing w:val="10"/>
                <w:sz w:val="23"/>
              </w:rPr>
            </w:pPr>
          </w:p>
        </w:tc>
        <w:tc>
          <w:tcPr>
            <w:tcW w:w="198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  <w:b/>
                <w:bCs/>
              </w:rPr>
            </w:pPr>
            <w:r w:rsidRPr="00CF7A1D">
              <w:rPr>
                <w:rFonts w:ascii="Arial" w:hAnsi="Arial" w:cs="Arial"/>
                <w:b/>
                <w:bCs/>
              </w:rPr>
              <w:t xml:space="preserve">Výše poplatku v Kč za </w:t>
            </w:r>
          </w:p>
          <w:p w:rsidR="00C20BBA" w:rsidRPr="00CF7A1D" w:rsidRDefault="00C20BBA" w:rsidP="00D81A41">
            <w:pPr>
              <w:jc w:val="center"/>
              <w:rPr>
                <w:color w:val="000000"/>
                <w:spacing w:val="10"/>
                <w:sz w:val="23"/>
              </w:rPr>
            </w:pPr>
            <w:r w:rsidRPr="00CF7A1D">
              <w:rPr>
                <w:rFonts w:ascii="Arial" w:hAnsi="Arial" w:cs="Arial"/>
                <w:b/>
                <w:bCs/>
              </w:rPr>
              <w:t>rok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-2"/>
              </w:rPr>
              <w:t xml:space="preserve">120  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4"/>
              </w:rPr>
              <w:t>1 x za 14 dní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26</w:t>
            </w:r>
          </w:p>
        </w:tc>
        <w:tc>
          <w:tcPr>
            <w:tcW w:w="1933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104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1 248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-2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10"/>
              </w:rPr>
              <w:t>1x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52</w:t>
            </w:r>
          </w:p>
        </w:tc>
        <w:tc>
          <w:tcPr>
            <w:tcW w:w="1933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208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2 496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  <w:spacing w:val="-2"/>
              </w:rPr>
            </w:pPr>
            <w:r w:rsidRPr="00CF7A1D">
              <w:rPr>
                <w:rFonts w:ascii="Arial" w:hAnsi="Arial" w:cs="Arial"/>
                <w:spacing w:val="-2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  <w:spacing w:val="4"/>
              </w:rPr>
            </w:pPr>
            <w:r w:rsidRPr="00CF7A1D">
              <w:rPr>
                <w:rFonts w:ascii="Arial" w:hAnsi="Arial" w:cs="Arial"/>
                <w:spacing w:val="4"/>
              </w:rPr>
              <w:t>2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104</w:t>
            </w:r>
          </w:p>
        </w:tc>
        <w:tc>
          <w:tcPr>
            <w:tcW w:w="1933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416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4 992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-2"/>
              </w:rPr>
              <w:t>240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8"/>
              </w:rPr>
              <w:t>1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52</w:t>
            </w:r>
          </w:p>
        </w:tc>
        <w:tc>
          <w:tcPr>
            <w:tcW w:w="1933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416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4 992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  <w:spacing w:val="-2"/>
              </w:rPr>
            </w:pPr>
            <w:r w:rsidRPr="00CF7A1D">
              <w:rPr>
                <w:rFonts w:ascii="Arial" w:hAnsi="Arial" w:cs="Arial"/>
                <w:spacing w:val="-2"/>
              </w:rPr>
              <w:t>240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2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104</w:t>
            </w:r>
          </w:p>
        </w:tc>
        <w:tc>
          <w:tcPr>
            <w:tcW w:w="1933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832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9 984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  <w:spacing w:val="-2"/>
              </w:rPr>
            </w:pPr>
            <w:r w:rsidRPr="00CF7A1D">
              <w:rPr>
                <w:rFonts w:ascii="Arial" w:hAnsi="Arial" w:cs="Arial"/>
                <w:spacing w:val="-2"/>
              </w:rPr>
              <w:t>660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8"/>
              </w:rPr>
              <w:t>1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52</w:t>
            </w:r>
          </w:p>
        </w:tc>
        <w:tc>
          <w:tcPr>
            <w:tcW w:w="1933" w:type="dxa"/>
            <w:shd w:val="clear" w:color="auto" w:fill="auto"/>
          </w:tcPr>
          <w:p w:rsidR="00C20BBA" w:rsidRPr="007A2597" w:rsidRDefault="007A2597" w:rsidP="00C80EC2">
            <w:pPr>
              <w:jc w:val="right"/>
              <w:rPr>
                <w:rFonts w:ascii="Arial" w:hAnsi="Arial" w:cs="Arial"/>
                <w:spacing w:val="10"/>
              </w:rPr>
            </w:pPr>
            <w:r w:rsidRPr="007A2597">
              <w:rPr>
                <w:rFonts w:ascii="Arial" w:hAnsi="Arial" w:cs="Arial"/>
                <w:spacing w:val="10"/>
              </w:rPr>
              <w:t xml:space="preserve">1 </w:t>
            </w:r>
            <w:r w:rsidR="00C80EC2">
              <w:rPr>
                <w:rFonts w:ascii="Arial" w:hAnsi="Arial" w:cs="Arial"/>
                <w:spacing w:val="10"/>
              </w:rPr>
              <w:t>144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</w:tcPr>
          <w:p w:rsidR="00C20BBA" w:rsidRPr="007A2597" w:rsidRDefault="007A2597" w:rsidP="00C80EC2">
            <w:pPr>
              <w:jc w:val="right"/>
              <w:rPr>
                <w:rFonts w:ascii="Arial" w:hAnsi="Arial" w:cs="Arial"/>
                <w:spacing w:val="10"/>
              </w:rPr>
            </w:pPr>
            <w:r w:rsidRPr="007A2597">
              <w:rPr>
                <w:rFonts w:ascii="Arial" w:hAnsi="Arial" w:cs="Arial"/>
                <w:spacing w:val="10"/>
              </w:rPr>
              <w:t>1</w:t>
            </w:r>
            <w:r w:rsidR="00C80EC2">
              <w:rPr>
                <w:rFonts w:ascii="Arial" w:hAnsi="Arial" w:cs="Arial"/>
                <w:spacing w:val="10"/>
              </w:rPr>
              <w:t>3 728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  <w:spacing w:val="-2"/>
              </w:rPr>
            </w:pPr>
            <w:r w:rsidRPr="00CF7A1D">
              <w:rPr>
                <w:rFonts w:ascii="Arial" w:hAnsi="Arial" w:cs="Arial"/>
                <w:spacing w:val="-2"/>
              </w:rPr>
              <w:t>660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2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104</w:t>
            </w:r>
          </w:p>
        </w:tc>
        <w:tc>
          <w:tcPr>
            <w:tcW w:w="1933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2 288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27 456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4"/>
              </w:rPr>
              <w:t xml:space="preserve">1100 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  <w:spacing w:val="8"/>
              </w:rPr>
              <w:t>1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52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1 907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22 880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  <w:spacing w:val="4"/>
              </w:rPr>
            </w:pPr>
            <w:r w:rsidRPr="00CF7A1D">
              <w:rPr>
                <w:rFonts w:ascii="Arial" w:hAnsi="Arial" w:cs="Arial"/>
                <w:spacing w:val="4"/>
              </w:rPr>
              <w:t>1100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  <w:spacing w:val="8"/>
              </w:rPr>
            </w:pPr>
            <w:r w:rsidRPr="00CF7A1D">
              <w:rPr>
                <w:rFonts w:ascii="Arial" w:hAnsi="Arial" w:cs="Arial"/>
                <w:spacing w:val="8"/>
              </w:rPr>
              <w:t>2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104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3 813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45 760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CF7A1D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  <w:spacing w:val="4"/>
              </w:rPr>
            </w:pPr>
            <w:r w:rsidRPr="00CF7A1D">
              <w:rPr>
                <w:rFonts w:ascii="Arial" w:hAnsi="Arial" w:cs="Arial"/>
                <w:spacing w:val="4"/>
              </w:rPr>
              <w:t>5500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  <w:spacing w:val="8"/>
              </w:rPr>
            </w:pPr>
            <w:r w:rsidRPr="00CF7A1D">
              <w:rPr>
                <w:rFonts w:ascii="Arial" w:hAnsi="Arial" w:cs="Arial"/>
                <w:spacing w:val="8"/>
              </w:rPr>
              <w:t>1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52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9 533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114 400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  <w:tr w:rsidR="00C20BBA" w:rsidRPr="001C37E4" w:rsidTr="00D81A41">
        <w:tc>
          <w:tcPr>
            <w:tcW w:w="2552" w:type="dxa"/>
            <w:shd w:val="clear" w:color="auto" w:fill="auto"/>
          </w:tcPr>
          <w:p w:rsidR="00C20BBA" w:rsidRPr="00CF7A1D" w:rsidRDefault="00C20BBA" w:rsidP="00D81A41">
            <w:pPr>
              <w:rPr>
                <w:rFonts w:ascii="Arial" w:hAnsi="Arial" w:cs="Arial"/>
                <w:spacing w:val="4"/>
              </w:rPr>
            </w:pPr>
            <w:r w:rsidRPr="00CF7A1D">
              <w:rPr>
                <w:rFonts w:ascii="Arial" w:hAnsi="Arial" w:cs="Arial"/>
                <w:spacing w:val="4"/>
              </w:rPr>
              <w:t>5500</w:t>
            </w:r>
          </w:p>
        </w:tc>
        <w:tc>
          <w:tcPr>
            <w:tcW w:w="1701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  <w:spacing w:val="8"/>
              </w:rPr>
            </w:pPr>
            <w:r w:rsidRPr="00CF7A1D">
              <w:rPr>
                <w:rFonts w:ascii="Arial" w:hAnsi="Arial" w:cs="Arial"/>
                <w:spacing w:val="8"/>
              </w:rPr>
              <w:t>2 x týdně</w:t>
            </w:r>
          </w:p>
        </w:tc>
        <w:tc>
          <w:tcPr>
            <w:tcW w:w="1044" w:type="dxa"/>
            <w:shd w:val="clear" w:color="auto" w:fill="auto"/>
          </w:tcPr>
          <w:p w:rsidR="00C20BBA" w:rsidRPr="00CF7A1D" w:rsidRDefault="00C20BBA" w:rsidP="00D81A41">
            <w:pPr>
              <w:jc w:val="center"/>
              <w:rPr>
                <w:rFonts w:ascii="Arial" w:hAnsi="Arial" w:cs="Arial"/>
              </w:rPr>
            </w:pPr>
            <w:r w:rsidRPr="00CF7A1D">
              <w:rPr>
                <w:rFonts w:ascii="Arial" w:hAnsi="Arial" w:cs="Arial"/>
              </w:rPr>
              <w:t>104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19 067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20BBA" w:rsidRPr="007A2597" w:rsidRDefault="00C80EC2" w:rsidP="007A2597">
            <w:pPr>
              <w:jc w:val="right"/>
              <w:rPr>
                <w:rFonts w:ascii="Arial" w:hAnsi="Arial" w:cs="Arial"/>
                <w:spacing w:val="10"/>
              </w:rPr>
            </w:pPr>
            <w:r>
              <w:rPr>
                <w:rFonts w:ascii="Arial" w:hAnsi="Arial" w:cs="Arial"/>
                <w:spacing w:val="10"/>
              </w:rPr>
              <w:t>228 800</w:t>
            </w:r>
            <w:r w:rsidR="00C20BBA" w:rsidRPr="007A2597">
              <w:rPr>
                <w:rFonts w:ascii="Arial" w:hAnsi="Arial" w:cs="Arial"/>
                <w:spacing w:val="10"/>
              </w:rPr>
              <w:t>,-</w:t>
            </w:r>
          </w:p>
        </w:tc>
      </w:tr>
    </w:tbl>
    <w:p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FF243E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FF243E">
        <w:rPr>
          <w:rFonts w:ascii="Arial" w:hAnsi="Arial" w:cs="Arial"/>
          <w:sz w:val="22"/>
          <w:szCs w:val="22"/>
        </w:rPr>
        <w:t>30. 4.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601AB9" w:rsidRDefault="00A9373A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Plátce poplatku, který nabyl postavení plátce poplatku po datu uvedeném v odstavci 1, odvede vybraný poplatek nejpozději do 15 dnů měsíce následujícího po měsíci, ve kterém nabyl postavení plátce</w:t>
      </w:r>
      <w:r w:rsidR="00FF243E" w:rsidRPr="00FF243E">
        <w:rPr>
          <w:rFonts w:ascii="Arial" w:hAnsi="Arial" w:cs="Arial"/>
          <w:sz w:val="22"/>
          <w:szCs w:val="22"/>
        </w:rPr>
        <w:t>.</w:t>
      </w:r>
    </w:p>
    <w:p w:rsidR="00A9373A" w:rsidRDefault="00A9373A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pro odvedení poplatku neskončí plátci poplatku dříve než lhůta pro podání ohlášení podle čl. 4 odst. 1 této vyhlášky</w:t>
      </w:r>
      <w:r w:rsidR="00C80EC2">
        <w:rPr>
          <w:rFonts w:ascii="Arial" w:hAnsi="Arial" w:cs="Arial"/>
          <w:sz w:val="22"/>
          <w:szCs w:val="22"/>
        </w:rPr>
        <w:t>.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A9373A">
        <w:rPr>
          <w:rFonts w:ascii="Arial" w:hAnsi="Arial" w:cs="Arial"/>
          <w:sz w:val="22"/>
          <w:szCs w:val="22"/>
        </w:rPr>
        <w:t>,2</w:t>
      </w:r>
      <w:r w:rsidR="00FF243E">
        <w:rPr>
          <w:rFonts w:ascii="Arial" w:hAnsi="Arial" w:cs="Arial"/>
          <w:sz w:val="22"/>
          <w:szCs w:val="22"/>
        </w:rPr>
        <w:t xml:space="preserve"> nebo </w:t>
      </w:r>
      <w:r w:rsidR="00A9373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472D8B">
        <w:rPr>
          <w:rFonts w:ascii="Arial" w:hAnsi="Arial" w:cs="Arial"/>
          <w:sz w:val="22"/>
          <w:szCs w:val="22"/>
        </w:rPr>
        <w:t xml:space="preserve">. 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737C1D" w:rsidRDefault="00737C1D" w:rsidP="00737C1D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poplatku může plátci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72368A">
        <w:rPr>
          <w:rFonts w:ascii="Arial" w:hAnsi="Arial" w:cs="Arial"/>
          <w:sz w:val="22"/>
          <w:szCs w:val="22"/>
          <w:vertAlign w:val="superscript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9B3D7F" w:rsidRPr="006314D0" w:rsidRDefault="00737C1D" w:rsidP="006314D0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Zvýšení poplatku stanoví správce poplatku plátci platebním výměrem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 w:rsidR="0072368A">
        <w:rPr>
          <w:rFonts w:ascii="Arial" w:hAnsi="Arial" w:cs="Arial"/>
          <w:sz w:val="22"/>
          <w:szCs w:val="22"/>
          <w:vertAlign w:val="superscript"/>
        </w:rPr>
        <w:t>6</w:t>
      </w:r>
      <w:r>
        <w:rPr>
          <w:rFonts w:ascii="Arial" w:hAnsi="Arial" w:cs="Arial"/>
          <w:sz w:val="22"/>
          <w:szCs w:val="22"/>
        </w:rPr>
        <w:t>,nebo hromadným předpisným seznamem.</w:t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22488C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 w:rsidR="0022488C">
        <w:rPr>
          <w:rStyle w:val="Znakapoznpodarou"/>
          <w:rFonts w:ascii="Arial" w:hAnsi="Arial" w:cs="Arial"/>
          <w:sz w:val="20"/>
          <w:szCs w:val="20"/>
        </w:rPr>
        <w:t>1</w:t>
      </w:r>
      <w:r w:rsidR="0022488C">
        <w:rPr>
          <w:rFonts w:ascii="Arial" w:hAnsi="Arial" w:cs="Arial"/>
          <w:sz w:val="20"/>
          <w:szCs w:val="20"/>
          <w:vertAlign w:val="superscript"/>
        </w:rPr>
        <w:t>7</w:t>
      </w:r>
    </w:p>
    <w:p w:rsidR="00F71057" w:rsidRPr="002E0EAD" w:rsidRDefault="00F71057" w:rsidP="0022488C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 w:rsidR="00847F46">
        <w:rPr>
          <w:rStyle w:val="Znakapoznpodarou"/>
          <w:rFonts w:ascii="Arial" w:hAnsi="Arial" w:cs="Arial"/>
          <w:sz w:val="22"/>
          <w:szCs w:val="22"/>
        </w:rPr>
        <w:t>1</w:t>
      </w:r>
      <w:r w:rsidR="00847F46">
        <w:rPr>
          <w:rFonts w:ascii="Arial" w:hAnsi="Arial" w:cs="Arial"/>
          <w:sz w:val="20"/>
          <w:szCs w:val="20"/>
          <w:vertAlign w:val="superscript"/>
        </w:rPr>
        <w:t>8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F71057" w:rsidRDefault="00F71057" w:rsidP="009B7982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798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9B7982" w:rsidRDefault="002244C4" w:rsidP="009B7982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která nabyla postavení plátce poplatku za odkládání komunálního odpadu z nemovité věci podle této vyhlášky k 1. 1. 2022 a zároveň byla plátcem poplatku za komunální odpad podle předchozí obecně závazné vyhlášky a má nasmlouvanou kapacitu (objem) soustřeďovacích prostředků (sběrných nádob) od 1. 1. 2022 není povin</w:t>
      </w:r>
      <w:r w:rsidR="00E8717C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plnit ohlašovací povinnost dle čl.</w:t>
      </w:r>
      <w:r w:rsidR="00387F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4, odst.</w:t>
      </w:r>
      <w:r w:rsidR="00387F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 této vyhlášky.</w:t>
      </w:r>
    </w:p>
    <w:p w:rsidR="00387FAC" w:rsidRPr="009B7982" w:rsidRDefault="00387FAC" w:rsidP="009B7982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nabyla postavení plátce poplatku za odkládání komunálního odpadu z nemovité věci podle této vyhlášky k 1. 1. 2022 a nejedná se o případ uvedený v odst. 2 tohoto článku, je povinna splnit ohlašovací povinnost podle čl. 4 této vyhlášky do </w:t>
      </w:r>
      <w:r w:rsidR="00D410F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 ode dne nabytí její účinnosti.</w:t>
      </w:r>
    </w:p>
    <w:p w:rsidR="00847F46" w:rsidRDefault="00847F46" w:rsidP="00847F46">
      <w:pPr>
        <w:pStyle w:val="Odstavecseseznamem"/>
        <w:ind w:left="567"/>
        <w:rPr>
          <w:rFonts w:ascii="Arial" w:hAnsi="Arial" w:cs="Arial"/>
          <w:sz w:val="18"/>
          <w:szCs w:val="18"/>
          <w:vertAlign w:val="superscript"/>
        </w:rPr>
      </w:pPr>
    </w:p>
    <w:p w:rsidR="00847F46" w:rsidRDefault="00847F46" w:rsidP="00847F46">
      <w:pPr>
        <w:pStyle w:val="Odstavecseseznamem"/>
        <w:ind w:left="567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  <w:vertAlign w:val="superscript"/>
        </w:rPr>
        <w:t>________________________________________________</w:t>
      </w:r>
    </w:p>
    <w:p w:rsidR="00847F46" w:rsidRPr="00847F46" w:rsidRDefault="00847F46" w:rsidP="00847F46">
      <w:pPr>
        <w:pStyle w:val="Odstavecseseznamem"/>
        <w:ind w:left="567"/>
        <w:rPr>
          <w:rFonts w:ascii="Arial" w:hAnsi="Arial" w:cs="Arial"/>
          <w:sz w:val="18"/>
          <w:szCs w:val="18"/>
        </w:rPr>
      </w:pPr>
      <w:r w:rsidRPr="00847F46">
        <w:rPr>
          <w:rFonts w:ascii="Arial" w:hAnsi="Arial" w:cs="Arial"/>
          <w:sz w:val="18"/>
          <w:szCs w:val="18"/>
          <w:vertAlign w:val="superscript"/>
        </w:rPr>
        <w:t xml:space="preserve">15 </w:t>
      </w:r>
      <w:r w:rsidRPr="00847F46">
        <w:rPr>
          <w:rFonts w:ascii="Arial" w:hAnsi="Arial" w:cs="Arial"/>
          <w:sz w:val="18"/>
          <w:szCs w:val="18"/>
        </w:rPr>
        <w:t>§ 11c odst. 1 zákona o místních poplatcích</w:t>
      </w:r>
    </w:p>
    <w:p w:rsidR="00847F46" w:rsidRPr="00847F46" w:rsidRDefault="00847F46" w:rsidP="00847F46">
      <w:pPr>
        <w:pStyle w:val="Odstavecseseznamem"/>
        <w:ind w:left="567"/>
        <w:rPr>
          <w:rFonts w:ascii="Arial" w:hAnsi="Arial" w:cs="Arial"/>
          <w:sz w:val="18"/>
          <w:szCs w:val="18"/>
        </w:rPr>
      </w:pPr>
      <w:r w:rsidRPr="00847F46">
        <w:rPr>
          <w:rFonts w:ascii="Arial" w:hAnsi="Arial" w:cs="Arial"/>
          <w:sz w:val="18"/>
          <w:szCs w:val="18"/>
          <w:vertAlign w:val="superscript"/>
        </w:rPr>
        <w:t>16</w:t>
      </w:r>
      <w:r w:rsidRPr="00847F46">
        <w:rPr>
          <w:rFonts w:ascii="Arial" w:hAnsi="Arial" w:cs="Arial"/>
          <w:sz w:val="18"/>
          <w:szCs w:val="18"/>
        </w:rPr>
        <w:t xml:space="preserve"> § 11c odst. 4 zákona o místních poplatcích</w:t>
      </w:r>
    </w:p>
    <w:p w:rsidR="00847F46" w:rsidRDefault="00847F46" w:rsidP="00847F46">
      <w:pPr>
        <w:pStyle w:val="Textpoznpodarou"/>
        <w:ind w:left="567"/>
      </w:pPr>
      <w:r>
        <w:rPr>
          <w:rStyle w:val="Znakapoznpodarou"/>
        </w:rPr>
        <w:t>1</w:t>
      </w:r>
      <w:r w:rsidRPr="0022488C">
        <w:rPr>
          <w:vertAlign w:val="superscript"/>
        </w:rPr>
        <w:t>7</w:t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847F46" w:rsidRDefault="00847F46" w:rsidP="00847F46">
      <w:pPr>
        <w:pStyle w:val="Textpoznpodarou"/>
        <w:ind w:left="567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t>1</w:t>
      </w:r>
      <w:r w:rsidRPr="0022488C">
        <w:rPr>
          <w:vertAlign w:val="superscript"/>
        </w:rPr>
        <w:t>8</w:t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2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847F46">
        <w:rPr>
          <w:rFonts w:ascii="Arial" w:hAnsi="Arial" w:cs="Arial"/>
          <w:sz w:val="22"/>
          <w:szCs w:val="22"/>
        </w:rPr>
        <w:t>2</w:t>
      </w:r>
      <w:r w:rsidRPr="00134A70">
        <w:rPr>
          <w:rFonts w:ascii="Arial" w:hAnsi="Arial" w:cs="Arial"/>
          <w:sz w:val="22"/>
          <w:szCs w:val="22"/>
        </w:rPr>
        <w:t>/</w:t>
      </w:r>
      <w:r w:rsidR="00134A70" w:rsidRPr="00134A70">
        <w:rPr>
          <w:rFonts w:ascii="Arial" w:hAnsi="Arial" w:cs="Arial"/>
          <w:sz w:val="22"/>
          <w:szCs w:val="22"/>
        </w:rPr>
        <w:t>20</w:t>
      </w:r>
      <w:r w:rsidR="00847F46">
        <w:rPr>
          <w:rFonts w:ascii="Arial" w:hAnsi="Arial" w:cs="Arial"/>
          <w:sz w:val="22"/>
          <w:szCs w:val="22"/>
        </w:rPr>
        <w:t>2</w:t>
      </w:r>
      <w:r w:rsidR="00134A70" w:rsidRPr="00134A70">
        <w:rPr>
          <w:rFonts w:ascii="Arial" w:hAnsi="Arial" w:cs="Arial"/>
          <w:sz w:val="22"/>
          <w:szCs w:val="22"/>
        </w:rPr>
        <w:t>1 o poplatku za komunální odpad schválená zastupitelstvem města Františkovy Lázně dne 1</w:t>
      </w:r>
      <w:r w:rsidR="00847F46">
        <w:rPr>
          <w:rFonts w:ascii="Arial" w:hAnsi="Arial" w:cs="Arial"/>
          <w:sz w:val="22"/>
          <w:szCs w:val="22"/>
        </w:rPr>
        <w:t>3</w:t>
      </w:r>
      <w:r w:rsidR="00134A70" w:rsidRPr="00134A70">
        <w:rPr>
          <w:rFonts w:ascii="Arial" w:hAnsi="Arial" w:cs="Arial"/>
          <w:sz w:val="22"/>
          <w:szCs w:val="22"/>
        </w:rPr>
        <w:t>.</w:t>
      </w:r>
      <w:r w:rsidR="00BA6CBB">
        <w:rPr>
          <w:rFonts w:ascii="Arial" w:hAnsi="Arial" w:cs="Arial"/>
          <w:sz w:val="22"/>
          <w:szCs w:val="22"/>
        </w:rPr>
        <w:t xml:space="preserve"> </w:t>
      </w:r>
      <w:r w:rsidR="00847F46">
        <w:rPr>
          <w:rFonts w:ascii="Arial" w:hAnsi="Arial" w:cs="Arial"/>
          <w:sz w:val="22"/>
          <w:szCs w:val="22"/>
        </w:rPr>
        <w:t>12</w:t>
      </w:r>
      <w:r w:rsidR="00134A70" w:rsidRPr="00134A70">
        <w:rPr>
          <w:rFonts w:ascii="Arial" w:hAnsi="Arial" w:cs="Arial"/>
          <w:sz w:val="22"/>
          <w:szCs w:val="22"/>
        </w:rPr>
        <w:t>.</w:t>
      </w:r>
      <w:r w:rsidR="00BA6CBB">
        <w:rPr>
          <w:rFonts w:ascii="Arial" w:hAnsi="Arial" w:cs="Arial"/>
          <w:sz w:val="22"/>
          <w:szCs w:val="22"/>
        </w:rPr>
        <w:t xml:space="preserve"> </w:t>
      </w:r>
      <w:r w:rsidR="00134A70" w:rsidRPr="00134A70">
        <w:rPr>
          <w:rFonts w:ascii="Arial" w:hAnsi="Arial" w:cs="Arial"/>
          <w:sz w:val="22"/>
          <w:szCs w:val="22"/>
        </w:rPr>
        <w:t>20</w:t>
      </w:r>
      <w:r w:rsidR="00847F46">
        <w:rPr>
          <w:rFonts w:ascii="Arial" w:hAnsi="Arial" w:cs="Arial"/>
          <w:sz w:val="22"/>
          <w:szCs w:val="22"/>
        </w:rPr>
        <w:t>2</w:t>
      </w:r>
      <w:r w:rsidR="00134A70" w:rsidRPr="00134A70">
        <w:rPr>
          <w:rFonts w:ascii="Arial" w:hAnsi="Arial" w:cs="Arial"/>
          <w:sz w:val="22"/>
          <w:szCs w:val="22"/>
        </w:rPr>
        <w:t>1</w:t>
      </w:r>
      <w:r w:rsidR="00C80EC2">
        <w:rPr>
          <w:rFonts w:ascii="Arial" w:hAnsi="Arial" w:cs="Arial"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D6AE7">
        <w:rPr>
          <w:rFonts w:ascii="Arial" w:hAnsi="Arial" w:cs="Arial"/>
          <w:sz w:val="22"/>
          <w:szCs w:val="22"/>
        </w:rPr>
        <w:t>1</w:t>
      </w:r>
      <w:r w:rsidR="00134A70">
        <w:rPr>
          <w:rFonts w:ascii="Arial" w:hAnsi="Arial" w:cs="Arial"/>
          <w:sz w:val="22"/>
          <w:szCs w:val="22"/>
        </w:rPr>
        <w:t xml:space="preserve">. </w:t>
      </w:r>
      <w:r w:rsidR="00E50A1A">
        <w:rPr>
          <w:rFonts w:ascii="Arial" w:hAnsi="Arial" w:cs="Arial"/>
          <w:sz w:val="22"/>
          <w:szCs w:val="22"/>
        </w:rPr>
        <w:t>1</w:t>
      </w:r>
      <w:r w:rsidR="00134A70">
        <w:rPr>
          <w:rFonts w:ascii="Arial" w:hAnsi="Arial" w:cs="Arial"/>
          <w:sz w:val="22"/>
          <w:szCs w:val="22"/>
        </w:rPr>
        <w:t xml:space="preserve"> 202</w:t>
      </w:r>
      <w:r w:rsidR="00E50A1A">
        <w:rPr>
          <w:rFonts w:ascii="Arial" w:hAnsi="Arial" w:cs="Arial"/>
          <w:sz w:val="22"/>
          <w:szCs w:val="22"/>
        </w:rPr>
        <w:t>6</w:t>
      </w:r>
      <w:r w:rsidR="00134A70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E034FF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131160"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E034FF" w:rsidRDefault="00E034FF" w:rsidP="00E034FF">
      <w:pPr>
        <w:pStyle w:val="Zkladntext"/>
        <w:tabs>
          <w:tab w:val="left" w:pos="1080"/>
          <w:tab w:val="left" w:pos="6660"/>
        </w:tabs>
        <w:spacing w:after="0" w:line="264" w:lineRule="auto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Lenka Průšová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BA6CBB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Ivo Mlátilík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034FF">
        <w:rPr>
          <w:rFonts w:ascii="Arial" w:hAnsi="Arial" w:cs="Arial"/>
          <w:sz w:val="22"/>
          <w:szCs w:val="22"/>
        </w:rPr>
        <w:t xml:space="preserve">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E034FF">
        <w:rPr>
          <w:rFonts w:ascii="Arial" w:hAnsi="Arial" w:cs="Arial"/>
          <w:sz w:val="22"/>
          <w:szCs w:val="22"/>
        </w:rPr>
        <w:t>ka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7A2597" w:rsidRDefault="007A259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7A2597" w:rsidRDefault="00847F46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7A2597" w:rsidRDefault="007A259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4F4F3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07275" w:rsidRDefault="0070727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847F4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FD1" w:rsidRDefault="00F93FD1">
      <w:r>
        <w:separator/>
      </w:r>
    </w:p>
  </w:endnote>
  <w:endnote w:type="continuationSeparator" w:id="0">
    <w:p w:rsidR="00F93FD1" w:rsidRDefault="00F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49AA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FD1" w:rsidRDefault="00F93FD1">
      <w:r>
        <w:separator/>
      </w:r>
    </w:p>
  </w:footnote>
  <w:footnote w:type="continuationSeparator" w:id="0">
    <w:p w:rsidR="00F93FD1" w:rsidRDefault="00F93FD1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A004AAC"/>
    <w:multiLevelType w:val="hybridMultilevel"/>
    <w:tmpl w:val="CC3CA7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ED0EEF"/>
    <w:multiLevelType w:val="hybridMultilevel"/>
    <w:tmpl w:val="3CD89694"/>
    <w:lvl w:ilvl="0" w:tplc="FFFFFFFF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49A16677"/>
    <w:multiLevelType w:val="hybridMultilevel"/>
    <w:tmpl w:val="3B7081B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E815078"/>
    <w:multiLevelType w:val="hybridMultilevel"/>
    <w:tmpl w:val="A5461E6A"/>
    <w:lvl w:ilvl="0" w:tplc="4D60B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39049E4"/>
    <w:multiLevelType w:val="multilevel"/>
    <w:tmpl w:val="235AA8A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26"/>
  </w:num>
  <w:num w:numId="4">
    <w:abstractNumId w:val="9"/>
  </w:num>
  <w:num w:numId="5">
    <w:abstractNumId w:val="6"/>
  </w:num>
  <w:num w:numId="6">
    <w:abstractNumId w:val="31"/>
  </w:num>
  <w:num w:numId="7">
    <w:abstractNumId w:val="12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3"/>
  </w:num>
  <w:num w:numId="14">
    <w:abstractNumId w:val="3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5"/>
  </w:num>
  <w:num w:numId="19">
    <w:abstractNumId w:val="29"/>
  </w:num>
  <w:num w:numId="20">
    <w:abstractNumId w:val="19"/>
  </w:num>
  <w:num w:numId="21">
    <w:abstractNumId w:val="27"/>
  </w:num>
  <w:num w:numId="22">
    <w:abstractNumId w:val="4"/>
  </w:num>
  <w:num w:numId="23">
    <w:abstractNumId w:val="32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21"/>
  </w:num>
  <w:num w:numId="28">
    <w:abstractNumId w:val="2"/>
  </w:num>
  <w:num w:numId="29">
    <w:abstractNumId w:val="20"/>
  </w:num>
  <w:num w:numId="30">
    <w:abstractNumId w:val="1"/>
  </w:num>
  <w:num w:numId="31">
    <w:abstractNumId w:val="18"/>
  </w:num>
  <w:num w:numId="32">
    <w:abstractNumId w:val="16"/>
  </w:num>
  <w:num w:numId="33">
    <w:abstractNumId w:val="3"/>
  </w:num>
  <w:num w:numId="34">
    <w:abstractNumId w:val="22"/>
  </w:num>
  <w:num w:numId="35">
    <w:abstractNumId w:val="15"/>
  </w:num>
  <w:num w:numId="36">
    <w:abstractNumId w:val="2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0A3A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1709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34A7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CFF"/>
    <w:rsid w:val="00215AA7"/>
    <w:rsid w:val="002244C4"/>
    <w:rsid w:val="0022488C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23AF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87FAC"/>
    <w:rsid w:val="003911AE"/>
    <w:rsid w:val="003958C3"/>
    <w:rsid w:val="003A74F6"/>
    <w:rsid w:val="003B03DB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A52"/>
    <w:rsid w:val="003E7159"/>
    <w:rsid w:val="003F7F1D"/>
    <w:rsid w:val="00402CA3"/>
    <w:rsid w:val="00412321"/>
    <w:rsid w:val="00420423"/>
    <w:rsid w:val="00420943"/>
    <w:rsid w:val="00421292"/>
    <w:rsid w:val="00421C92"/>
    <w:rsid w:val="00425D58"/>
    <w:rsid w:val="0042639F"/>
    <w:rsid w:val="0046626F"/>
    <w:rsid w:val="00472D8B"/>
    <w:rsid w:val="00474813"/>
    <w:rsid w:val="004863D0"/>
    <w:rsid w:val="004A2332"/>
    <w:rsid w:val="004B1994"/>
    <w:rsid w:val="004B4A8E"/>
    <w:rsid w:val="004C0427"/>
    <w:rsid w:val="004C0C90"/>
    <w:rsid w:val="004C49AA"/>
    <w:rsid w:val="004D0316"/>
    <w:rsid w:val="004D2DD2"/>
    <w:rsid w:val="004D5E6C"/>
    <w:rsid w:val="004E2C06"/>
    <w:rsid w:val="004F19DC"/>
    <w:rsid w:val="004F3772"/>
    <w:rsid w:val="004F4F30"/>
    <w:rsid w:val="004F6539"/>
    <w:rsid w:val="00500A52"/>
    <w:rsid w:val="00504C32"/>
    <w:rsid w:val="00510270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D50B6"/>
    <w:rsid w:val="005D6F5D"/>
    <w:rsid w:val="005E2958"/>
    <w:rsid w:val="005E7605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14D0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1ED2"/>
    <w:rsid w:val="00683897"/>
    <w:rsid w:val="00695493"/>
    <w:rsid w:val="006A4A80"/>
    <w:rsid w:val="006A74FD"/>
    <w:rsid w:val="006C4DB3"/>
    <w:rsid w:val="006D4118"/>
    <w:rsid w:val="006E6EB8"/>
    <w:rsid w:val="006F616E"/>
    <w:rsid w:val="006F6C96"/>
    <w:rsid w:val="007005F7"/>
    <w:rsid w:val="00700827"/>
    <w:rsid w:val="00707275"/>
    <w:rsid w:val="00716519"/>
    <w:rsid w:val="007165A1"/>
    <w:rsid w:val="00716E07"/>
    <w:rsid w:val="00722383"/>
    <w:rsid w:val="0072368A"/>
    <w:rsid w:val="00732B10"/>
    <w:rsid w:val="0073417D"/>
    <w:rsid w:val="007342A5"/>
    <w:rsid w:val="00737C1D"/>
    <w:rsid w:val="00743081"/>
    <w:rsid w:val="0074717E"/>
    <w:rsid w:val="0076252F"/>
    <w:rsid w:val="0076572C"/>
    <w:rsid w:val="00772922"/>
    <w:rsid w:val="007746D8"/>
    <w:rsid w:val="00776E64"/>
    <w:rsid w:val="00782635"/>
    <w:rsid w:val="007834F2"/>
    <w:rsid w:val="0079573C"/>
    <w:rsid w:val="007A2597"/>
    <w:rsid w:val="007A403B"/>
    <w:rsid w:val="007A4E58"/>
    <w:rsid w:val="007A65BA"/>
    <w:rsid w:val="007A6850"/>
    <w:rsid w:val="007B11D2"/>
    <w:rsid w:val="007B1993"/>
    <w:rsid w:val="007D1B94"/>
    <w:rsid w:val="007D5AA9"/>
    <w:rsid w:val="007D6AE7"/>
    <w:rsid w:val="007D7D86"/>
    <w:rsid w:val="007E04B6"/>
    <w:rsid w:val="007E48FC"/>
    <w:rsid w:val="007E7ED9"/>
    <w:rsid w:val="007F5D14"/>
    <w:rsid w:val="008102E4"/>
    <w:rsid w:val="00810AD7"/>
    <w:rsid w:val="008123FB"/>
    <w:rsid w:val="00814217"/>
    <w:rsid w:val="008148C5"/>
    <w:rsid w:val="00821399"/>
    <w:rsid w:val="008237F2"/>
    <w:rsid w:val="00824269"/>
    <w:rsid w:val="0082642B"/>
    <w:rsid w:val="00826D2C"/>
    <w:rsid w:val="00831C1A"/>
    <w:rsid w:val="00831D58"/>
    <w:rsid w:val="008413A6"/>
    <w:rsid w:val="00843AA7"/>
    <w:rsid w:val="00847F46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440F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7982"/>
    <w:rsid w:val="009D02DA"/>
    <w:rsid w:val="009D0F92"/>
    <w:rsid w:val="009D1457"/>
    <w:rsid w:val="009D238D"/>
    <w:rsid w:val="009D39EA"/>
    <w:rsid w:val="009D58F1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11D8"/>
    <w:rsid w:val="00A9373A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A6CBB"/>
    <w:rsid w:val="00BB3316"/>
    <w:rsid w:val="00BC17DA"/>
    <w:rsid w:val="00BC3CDA"/>
    <w:rsid w:val="00BF79B0"/>
    <w:rsid w:val="00C07E66"/>
    <w:rsid w:val="00C1031D"/>
    <w:rsid w:val="00C17467"/>
    <w:rsid w:val="00C20BBA"/>
    <w:rsid w:val="00C3174D"/>
    <w:rsid w:val="00C31C1A"/>
    <w:rsid w:val="00C35DC9"/>
    <w:rsid w:val="00C436A4"/>
    <w:rsid w:val="00C53646"/>
    <w:rsid w:val="00C54C28"/>
    <w:rsid w:val="00C63031"/>
    <w:rsid w:val="00C63342"/>
    <w:rsid w:val="00C6548E"/>
    <w:rsid w:val="00C67504"/>
    <w:rsid w:val="00C77181"/>
    <w:rsid w:val="00C80EC2"/>
    <w:rsid w:val="00C863F8"/>
    <w:rsid w:val="00C874B5"/>
    <w:rsid w:val="00C92A60"/>
    <w:rsid w:val="00C94444"/>
    <w:rsid w:val="00CC0853"/>
    <w:rsid w:val="00CC740B"/>
    <w:rsid w:val="00CC7BE1"/>
    <w:rsid w:val="00CD16F4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410F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034FF"/>
    <w:rsid w:val="00E07A66"/>
    <w:rsid w:val="00E10B6A"/>
    <w:rsid w:val="00E114A3"/>
    <w:rsid w:val="00E121E8"/>
    <w:rsid w:val="00E1350D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0A1A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8717C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0D32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3FD1"/>
    <w:rsid w:val="00FB319D"/>
    <w:rsid w:val="00FB336E"/>
    <w:rsid w:val="00FD12E2"/>
    <w:rsid w:val="00FD58CC"/>
    <w:rsid w:val="00FE34F1"/>
    <w:rsid w:val="00FF243E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338767E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2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57E21-1C7E-4826-B512-8807B7FA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1220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Dagmar Zezulková</cp:lastModifiedBy>
  <cp:revision>10</cp:revision>
  <cp:lastPrinted>2025-11-14T06:41:00Z</cp:lastPrinted>
  <dcterms:created xsi:type="dcterms:W3CDTF">2025-10-06T11:54:00Z</dcterms:created>
  <dcterms:modified xsi:type="dcterms:W3CDTF">2025-11-14T06:42:00Z</dcterms:modified>
</cp:coreProperties>
</file>