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0459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45901">
        <w:rPr>
          <w:rFonts w:ascii="Arial" w:hAnsi="Arial" w:cs="Arial"/>
          <w:b/>
        </w:rPr>
        <w:t>PASTUCHOVICE</w:t>
      </w:r>
    </w:p>
    <w:p w:rsidR="00850CCE" w:rsidRDefault="00850CCE" w:rsidP="0004590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045901">
        <w:rPr>
          <w:rFonts w:ascii="Arial" w:hAnsi="Arial" w:cs="Arial"/>
          <w:b/>
        </w:rPr>
        <w:t>1/2020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5901">
        <w:rPr>
          <w:rFonts w:ascii="Arial" w:hAnsi="Arial" w:cs="Arial"/>
          <w:sz w:val="22"/>
          <w:szCs w:val="22"/>
        </w:rPr>
        <w:t>Pastuchovice</w:t>
      </w:r>
      <w:r>
        <w:rPr>
          <w:rFonts w:ascii="Arial" w:hAnsi="Arial" w:cs="Arial"/>
          <w:sz w:val="22"/>
          <w:szCs w:val="22"/>
        </w:rPr>
        <w:t xml:space="preserve"> </w:t>
      </w:r>
      <w:r w:rsidR="00442B55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442B55">
        <w:rPr>
          <w:rFonts w:ascii="Arial" w:hAnsi="Arial" w:cs="Arial"/>
          <w:sz w:val="22"/>
          <w:szCs w:val="22"/>
        </w:rPr>
        <w:t>13.2.2020</w:t>
      </w:r>
      <w:proofErr w:type="gramEnd"/>
      <w:r w:rsidR="00442B5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42B55">
        <w:rPr>
          <w:rFonts w:ascii="Arial" w:hAnsi="Arial" w:cs="Arial"/>
          <w:sz w:val="22"/>
          <w:szCs w:val="22"/>
        </w:rPr>
        <w:t xml:space="preserve">9/8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5901">
        <w:rPr>
          <w:rFonts w:ascii="Arial" w:hAnsi="Arial" w:cs="Arial"/>
          <w:sz w:val="22"/>
          <w:szCs w:val="22"/>
        </w:rPr>
        <w:t>Pastuchovice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45901">
        <w:rPr>
          <w:rFonts w:ascii="Arial" w:hAnsi="Arial" w:cs="Arial"/>
          <w:sz w:val="22"/>
          <w:szCs w:val="22"/>
        </w:rPr>
        <w:t>Pastuchovice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4590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45901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5D29AF">
        <w:rPr>
          <w:rFonts w:ascii="Arial" w:hAnsi="Arial" w:cs="Arial"/>
          <w:sz w:val="22"/>
          <w:szCs w:val="22"/>
        </w:rPr>
        <w:t>.............................100</w:t>
      </w:r>
      <w:proofErr w:type="gramEnd"/>
      <w:r w:rsidR="005D29AF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5D29AF">
        <w:rPr>
          <w:rFonts w:ascii="Arial" w:hAnsi="Arial" w:cs="Arial"/>
          <w:sz w:val="22"/>
          <w:szCs w:val="22"/>
        </w:rPr>
        <w:t>.............................100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D29AF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18AB" w:rsidRPr="005D29AF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D29AF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</w:t>
      </w:r>
      <w:r w:rsidR="00F929D3">
        <w:rPr>
          <w:rFonts w:ascii="Arial" w:hAnsi="Arial" w:cs="Arial"/>
        </w:rPr>
        <w:t xml:space="preserve">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F929D3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F929D3">
        <w:rPr>
          <w:rFonts w:ascii="Arial" w:hAnsi="Arial" w:cs="Arial"/>
          <w:sz w:val="22"/>
          <w:szCs w:val="22"/>
        </w:rPr>
        <w:t xml:space="preserve">15 </w:t>
      </w:r>
      <w:r w:rsidR="002B3C2F">
        <w:rPr>
          <w:rFonts w:ascii="Arial" w:hAnsi="Arial" w:cs="Arial"/>
          <w:sz w:val="22"/>
          <w:szCs w:val="22"/>
        </w:rPr>
        <w:t>dnů od skutečnosti zakládající</w:t>
      </w:r>
      <w:r w:rsidR="00F929D3">
        <w:rPr>
          <w:rFonts w:ascii="Arial" w:hAnsi="Arial" w:cs="Arial"/>
          <w:sz w:val="22"/>
          <w:szCs w:val="22"/>
        </w:rPr>
        <w:t xml:space="preserve"> nárok na osvobození.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F929D3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F929D3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334252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425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929D3" w:rsidRPr="00334252">
        <w:rPr>
          <w:rFonts w:ascii="Arial" w:hAnsi="Arial" w:cs="Arial"/>
          <w:sz w:val="22"/>
          <w:szCs w:val="22"/>
        </w:rPr>
        <w:t>4</w:t>
      </w:r>
      <w:r w:rsidRPr="00334252">
        <w:rPr>
          <w:rFonts w:ascii="Arial" w:hAnsi="Arial" w:cs="Arial"/>
          <w:sz w:val="22"/>
          <w:szCs w:val="22"/>
        </w:rPr>
        <w:t>/</w:t>
      </w:r>
      <w:r w:rsidR="00F929D3" w:rsidRPr="00334252">
        <w:rPr>
          <w:rFonts w:ascii="Arial" w:hAnsi="Arial" w:cs="Arial"/>
          <w:sz w:val="22"/>
          <w:szCs w:val="22"/>
        </w:rPr>
        <w:t>2011 o místním poplatku ze psů</w:t>
      </w:r>
      <w:r w:rsidRPr="00334252">
        <w:rPr>
          <w:rFonts w:ascii="Arial" w:hAnsi="Arial" w:cs="Arial"/>
          <w:sz w:val="22"/>
          <w:szCs w:val="22"/>
        </w:rPr>
        <w:t xml:space="preserve">, ze dne </w:t>
      </w:r>
      <w:r w:rsidR="00F929D3" w:rsidRPr="00334252">
        <w:rPr>
          <w:rFonts w:ascii="Arial" w:hAnsi="Arial" w:cs="Arial"/>
          <w:sz w:val="22"/>
          <w:szCs w:val="22"/>
        </w:rPr>
        <w:t>8. 9. 2011.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D18AB" w:rsidP="003342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dnem vyhlášení.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334252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893F98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="00893F9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33425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Naděžda Maršíková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Jiří Vršecký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33425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64EF8">
        <w:rPr>
          <w:rFonts w:ascii="Arial" w:hAnsi="Arial" w:cs="Arial"/>
          <w:sz w:val="22"/>
          <w:szCs w:val="22"/>
        </w:rPr>
        <w:t xml:space="preserve"> 18.2.2020</w:t>
      </w:r>
    </w:p>
    <w:p w:rsidR="00FB319D" w:rsidRDefault="00893F98" w:rsidP="0033425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334252" w:rsidRDefault="00334252" w:rsidP="00334252">
      <w:pPr>
        <w:rPr>
          <w:rFonts w:ascii="Arial" w:hAnsi="Arial" w:cs="Arial"/>
        </w:rPr>
      </w:pPr>
    </w:p>
    <w:p w:rsidR="00334252" w:rsidRPr="00334252" w:rsidRDefault="00334252" w:rsidP="00334252">
      <w:pPr>
        <w:rPr>
          <w:rFonts w:ascii="Arial" w:hAnsi="Arial" w:cs="Arial"/>
          <w:sz w:val="22"/>
          <w:szCs w:val="22"/>
        </w:rPr>
      </w:pPr>
      <w:r w:rsidRPr="00334252">
        <w:rPr>
          <w:rFonts w:ascii="Arial" w:hAnsi="Arial" w:cs="Arial"/>
          <w:sz w:val="22"/>
          <w:szCs w:val="22"/>
        </w:rPr>
        <w:t>Zveřejnění OZV bylo shodně provedeno způsobem umožňujícím dálkový přístup.</w:t>
      </w:r>
    </w:p>
    <w:p w:rsidR="00334252" w:rsidRPr="00A60454" w:rsidRDefault="00334252" w:rsidP="0033425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334252" w:rsidRPr="00A60454" w:rsidSect="0033425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55" w:rsidRDefault="00094F55">
      <w:r>
        <w:separator/>
      </w:r>
    </w:p>
  </w:endnote>
  <w:endnote w:type="continuationSeparator" w:id="0">
    <w:p w:rsidR="00094F55" w:rsidRDefault="00094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55" w:rsidRDefault="00094F55">
      <w:r>
        <w:separator/>
      </w:r>
    </w:p>
  </w:footnote>
  <w:footnote w:type="continuationSeparator" w:id="0">
    <w:p w:rsidR="00094F55" w:rsidRDefault="00094F5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5901"/>
    <w:rsid w:val="000524E5"/>
    <w:rsid w:val="00064E4C"/>
    <w:rsid w:val="000757C0"/>
    <w:rsid w:val="00094F55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86844"/>
    <w:rsid w:val="00191409"/>
    <w:rsid w:val="001B0477"/>
    <w:rsid w:val="001C2D2F"/>
    <w:rsid w:val="001E16DD"/>
    <w:rsid w:val="002018AD"/>
    <w:rsid w:val="002223EB"/>
    <w:rsid w:val="00237FD0"/>
    <w:rsid w:val="0025437E"/>
    <w:rsid w:val="0028120B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34252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42B55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0474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9AF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4483"/>
    <w:rsid w:val="00A579D2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15F01"/>
    <w:rsid w:val="00C4447F"/>
    <w:rsid w:val="00C444BF"/>
    <w:rsid w:val="00C515F0"/>
    <w:rsid w:val="00C6781E"/>
    <w:rsid w:val="00C81657"/>
    <w:rsid w:val="00C93620"/>
    <w:rsid w:val="00CA0C4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4EF8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929D3"/>
    <w:rsid w:val="00FA15BD"/>
    <w:rsid w:val="00FA3D1C"/>
    <w:rsid w:val="00FA6D81"/>
    <w:rsid w:val="00FB319D"/>
    <w:rsid w:val="00FB418C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4C3C-FC5D-4035-B5AE-24C93895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8</cp:revision>
  <cp:lastPrinted>2020-02-18T10:26:00Z</cp:lastPrinted>
  <dcterms:created xsi:type="dcterms:W3CDTF">2020-01-17T08:04:00Z</dcterms:created>
  <dcterms:modified xsi:type="dcterms:W3CDTF">2020-02-18T10:26:00Z</dcterms:modified>
</cp:coreProperties>
</file>