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7062B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3657062C" w14:textId="77777777" w:rsidR="009F4731" w:rsidRPr="00C038B6" w:rsidRDefault="009F4731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</w:p>
    <w:p w14:paraId="3657062D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3657062E" w14:textId="77777777" w:rsidR="004767E2" w:rsidRDefault="004767E2" w:rsidP="004767E2">
      <w:pPr>
        <w:jc w:val="center"/>
      </w:pPr>
      <w:r>
        <w:object w:dxaOrig="15525" w:dyaOrig="18000" w14:anchorId="36570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44636371" r:id="rId11"/>
        </w:object>
      </w:r>
    </w:p>
    <w:p w14:paraId="3657062F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36570630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36570631" w14:textId="77777777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 xml:space="preserve">Obecně závazná vyhláška č. </w:t>
      </w:r>
      <w:r w:rsidR="00816BA0">
        <w:rPr>
          <w:rFonts w:ascii="Times New Roman" w:hAnsi="Times New Roman"/>
          <w:sz w:val="32"/>
          <w:szCs w:val="32"/>
        </w:rPr>
        <w:t>5/2015</w:t>
      </w:r>
    </w:p>
    <w:p w14:paraId="36570632" w14:textId="77777777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dne </w:t>
      </w:r>
      <w:r w:rsidR="006B31F5">
        <w:rPr>
          <w:sz w:val="24"/>
          <w:szCs w:val="24"/>
        </w:rPr>
        <w:t>3</w:t>
      </w:r>
      <w:r w:rsidR="00370954">
        <w:rPr>
          <w:sz w:val="24"/>
          <w:szCs w:val="24"/>
        </w:rPr>
        <w:t>0. září 2015</w:t>
      </w:r>
    </w:p>
    <w:p w14:paraId="36570633" w14:textId="77777777" w:rsidR="004767E2" w:rsidRDefault="004767E2" w:rsidP="004357F5">
      <w:pPr>
        <w:jc w:val="center"/>
        <w:rPr>
          <w:sz w:val="24"/>
          <w:szCs w:val="24"/>
        </w:rPr>
      </w:pPr>
    </w:p>
    <w:p w14:paraId="36570634" w14:textId="77777777" w:rsidR="004767E2" w:rsidRPr="004767E2" w:rsidRDefault="004767E2" w:rsidP="004357F5">
      <w:pPr>
        <w:jc w:val="center"/>
        <w:rPr>
          <w:sz w:val="24"/>
          <w:szCs w:val="24"/>
        </w:rPr>
      </w:pPr>
    </w:p>
    <w:p w14:paraId="36570635" w14:textId="77777777" w:rsidR="00370954" w:rsidRPr="002A3482" w:rsidRDefault="00370954" w:rsidP="00370954">
      <w:pPr>
        <w:jc w:val="center"/>
        <w:rPr>
          <w:b/>
          <w:sz w:val="32"/>
        </w:rPr>
      </w:pPr>
      <w:r>
        <w:rPr>
          <w:b/>
          <w:bCs/>
          <w:sz w:val="32"/>
        </w:rPr>
        <w:t>o stanovení koeficientů pro výpočet daně z nemovitých věcí</w:t>
      </w:r>
    </w:p>
    <w:p w14:paraId="36570636" w14:textId="77777777" w:rsidR="00370954" w:rsidRPr="000C01A0" w:rsidRDefault="00370954" w:rsidP="00370954">
      <w:pPr>
        <w:jc w:val="center"/>
        <w:rPr>
          <w:b/>
          <w:sz w:val="24"/>
          <w:szCs w:val="24"/>
        </w:rPr>
      </w:pPr>
    </w:p>
    <w:p w14:paraId="36570637" w14:textId="7849DB32" w:rsidR="00370954" w:rsidRPr="00E47CBF" w:rsidRDefault="00370954" w:rsidP="00370954">
      <w:pPr>
        <w:jc w:val="both"/>
        <w:rPr>
          <w:sz w:val="24"/>
          <w:szCs w:val="24"/>
        </w:rPr>
      </w:pPr>
      <w:r w:rsidRPr="00E47CBF">
        <w:rPr>
          <w:sz w:val="24"/>
          <w:szCs w:val="24"/>
        </w:rPr>
        <w:t>Zastupitelstvo města Mos</w:t>
      </w:r>
      <w:r>
        <w:rPr>
          <w:sz w:val="24"/>
          <w:szCs w:val="24"/>
        </w:rPr>
        <w:t xml:space="preserve">tu vydává dne </w:t>
      </w:r>
      <w:r w:rsidR="002B5A66">
        <w:rPr>
          <w:sz w:val="24"/>
          <w:szCs w:val="24"/>
        </w:rPr>
        <w:t>3</w:t>
      </w:r>
      <w:r>
        <w:rPr>
          <w:sz w:val="24"/>
          <w:szCs w:val="24"/>
        </w:rPr>
        <w:t xml:space="preserve">0. září 2015 </w:t>
      </w:r>
      <w:r w:rsidRPr="00E47CBF">
        <w:rPr>
          <w:sz w:val="24"/>
          <w:szCs w:val="24"/>
        </w:rPr>
        <w:t>v souladu s</w:t>
      </w:r>
      <w:r w:rsidR="00665AD6">
        <w:rPr>
          <w:sz w:val="24"/>
          <w:szCs w:val="24"/>
        </w:rPr>
        <w:t> ustanovením § 10 písm. </w:t>
      </w:r>
      <w:r>
        <w:rPr>
          <w:sz w:val="24"/>
          <w:szCs w:val="24"/>
        </w:rPr>
        <w:t>d)</w:t>
      </w:r>
      <w:r w:rsidRPr="00E47CB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47CBF">
        <w:rPr>
          <w:sz w:val="24"/>
          <w:szCs w:val="24"/>
        </w:rPr>
        <w:t>a § 84 odst. 2 písm. h) zákona č. 128/2000 Sb., o obcích (obecní zřízení)</w:t>
      </w:r>
      <w:r>
        <w:rPr>
          <w:sz w:val="24"/>
          <w:szCs w:val="24"/>
        </w:rPr>
        <w:t>,</w:t>
      </w:r>
      <w:r w:rsidRPr="00E47CBF">
        <w:rPr>
          <w:sz w:val="24"/>
          <w:szCs w:val="24"/>
        </w:rPr>
        <w:t xml:space="preserve"> ve znění pozdějších předpisů, </w:t>
      </w:r>
      <w:r>
        <w:rPr>
          <w:sz w:val="24"/>
          <w:szCs w:val="24"/>
        </w:rPr>
        <w:t>a ustanovení § 11 odst. 3 písm. a), b) a § 12 zákona č. 338/1992 Sb., o dani z nemovitých věcí, ve</w:t>
      </w:r>
      <w:r w:rsidR="00665AD6">
        <w:rPr>
          <w:sz w:val="24"/>
          <w:szCs w:val="24"/>
        </w:rPr>
        <w:t> </w:t>
      </w:r>
      <w:r>
        <w:rPr>
          <w:sz w:val="24"/>
          <w:szCs w:val="24"/>
        </w:rPr>
        <w:t>znění pozdějších předpisů (dále jen „zákon o dani z nemovitých věcí“),</w:t>
      </w:r>
      <w:r w:rsidRPr="00E47CBF">
        <w:rPr>
          <w:sz w:val="24"/>
          <w:szCs w:val="24"/>
        </w:rPr>
        <w:t xml:space="preserve"> tuto obecně závaznou vyhlášku</w:t>
      </w:r>
      <w:r>
        <w:rPr>
          <w:sz w:val="24"/>
          <w:szCs w:val="24"/>
        </w:rPr>
        <w:t xml:space="preserve"> (dále jen „vyhláška“).</w:t>
      </w:r>
    </w:p>
    <w:p w14:paraId="36570638" w14:textId="77777777" w:rsidR="00370954" w:rsidRPr="00E47CBF" w:rsidRDefault="00370954" w:rsidP="00370954">
      <w:pPr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</w:p>
    <w:p w14:paraId="36570639" w14:textId="77777777" w:rsidR="00370954" w:rsidRPr="00E47CBF" w:rsidRDefault="00370954" w:rsidP="00370954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Koeficient – daň ze staveb a jednotek</w:t>
      </w:r>
    </w:p>
    <w:p w14:paraId="3657063A" w14:textId="77777777" w:rsidR="00370954" w:rsidRPr="00E47CBF" w:rsidRDefault="00370954" w:rsidP="00370954">
      <w:pPr>
        <w:jc w:val="both"/>
        <w:rPr>
          <w:sz w:val="24"/>
          <w:szCs w:val="24"/>
        </w:rPr>
      </w:pPr>
    </w:p>
    <w:p w14:paraId="3657063B" w14:textId="297A10E4" w:rsidR="00370954" w:rsidRDefault="00370954" w:rsidP="00370954">
      <w:pPr>
        <w:ind w:left="284" w:hanging="284"/>
        <w:jc w:val="both"/>
        <w:rPr>
          <w:sz w:val="24"/>
          <w:szCs w:val="24"/>
        </w:rPr>
      </w:pPr>
      <w:r w:rsidRPr="00E47CBF">
        <w:rPr>
          <w:sz w:val="24"/>
          <w:szCs w:val="24"/>
        </w:rPr>
        <w:t>1.</w:t>
      </w:r>
      <w:r w:rsidRPr="00916557">
        <w:rPr>
          <w:sz w:val="24"/>
          <w:szCs w:val="24"/>
        </w:rPr>
        <w:t xml:space="preserve"> </w:t>
      </w:r>
      <w:r>
        <w:rPr>
          <w:sz w:val="24"/>
          <w:szCs w:val="24"/>
        </w:rPr>
        <w:t>Pro výpočet</w:t>
      </w:r>
      <w:r w:rsidRPr="0082381C">
        <w:rPr>
          <w:sz w:val="24"/>
          <w:szCs w:val="24"/>
        </w:rPr>
        <w:t xml:space="preserve"> sazby daně ze staveb a jednotek u staveb a </w:t>
      </w:r>
      <w:r w:rsidR="00665AD6">
        <w:rPr>
          <w:sz w:val="24"/>
          <w:szCs w:val="24"/>
        </w:rPr>
        <w:t>jednotek uvedených v § 11 odst. </w:t>
      </w:r>
      <w:r w:rsidRPr="0082381C">
        <w:rPr>
          <w:sz w:val="24"/>
          <w:szCs w:val="24"/>
        </w:rPr>
        <w:t xml:space="preserve">1 </w:t>
      </w:r>
      <w:r w:rsidR="00665AD6">
        <w:rPr>
          <w:sz w:val="24"/>
          <w:szCs w:val="24"/>
        </w:rPr>
        <w:br/>
      </w:r>
      <w:r w:rsidRPr="0082381C">
        <w:rPr>
          <w:sz w:val="24"/>
          <w:szCs w:val="24"/>
        </w:rPr>
        <w:t>písmeno a) a f) zákona o dani z nemovitých věcí</w:t>
      </w:r>
      <w:r w:rsidRPr="0082381C">
        <w:rPr>
          <w:rStyle w:val="Znakapoznpodarou"/>
          <w:sz w:val="24"/>
          <w:szCs w:val="24"/>
        </w:rPr>
        <w:footnoteReference w:id="1"/>
      </w:r>
      <w:r w:rsidRPr="001558FC">
        <w:rPr>
          <w:rStyle w:val="Znakapoznpodarou"/>
          <w:sz w:val="24"/>
          <w:szCs w:val="24"/>
        </w:rPr>
        <w:t>)</w:t>
      </w:r>
      <w:r w:rsidRPr="0082381C">
        <w:rPr>
          <w:sz w:val="24"/>
          <w:szCs w:val="24"/>
        </w:rPr>
        <w:t xml:space="preserve"> se stanoví dle § 11 odst. 3 písm. a) zákona </w:t>
      </w:r>
      <w:r>
        <w:rPr>
          <w:sz w:val="24"/>
          <w:szCs w:val="24"/>
        </w:rPr>
        <w:br/>
      </w:r>
      <w:r w:rsidRPr="0082381C">
        <w:rPr>
          <w:sz w:val="24"/>
          <w:szCs w:val="24"/>
        </w:rPr>
        <w:t>o dani z nemovitých věcí pro jednotlivé části města Most (dále jen „část“), tj.</w:t>
      </w:r>
    </w:p>
    <w:p w14:paraId="3657063C" w14:textId="77777777" w:rsidR="00370954" w:rsidRPr="0082381C" w:rsidRDefault="00370954" w:rsidP="00370954">
      <w:pPr>
        <w:numPr>
          <w:ilvl w:val="0"/>
          <w:numId w:val="6"/>
        </w:numPr>
        <w:spacing w:before="120"/>
        <w:ind w:left="714" w:hanging="357"/>
        <w:jc w:val="both"/>
        <w:rPr>
          <w:sz w:val="24"/>
          <w:szCs w:val="24"/>
        </w:rPr>
      </w:pPr>
      <w:r w:rsidRPr="0082381C">
        <w:rPr>
          <w:b/>
          <w:sz w:val="24"/>
          <w:szCs w:val="24"/>
        </w:rPr>
        <w:t>ZSJ</w:t>
      </w:r>
      <w:r w:rsidRPr="0082381C">
        <w:rPr>
          <w:rStyle w:val="Znakapoznpodarou"/>
          <w:sz w:val="24"/>
          <w:szCs w:val="24"/>
        </w:rPr>
        <w:footnoteReference w:id="2"/>
      </w:r>
      <w:r w:rsidRPr="0082381C">
        <w:rPr>
          <w:sz w:val="24"/>
          <w:szCs w:val="24"/>
          <w:vertAlign w:val="superscript"/>
        </w:rPr>
        <w:t>)</w:t>
      </w:r>
      <w:r w:rsidRPr="0082381C">
        <w:rPr>
          <w:sz w:val="24"/>
          <w:szCs w:val="24"/>
        </w:rPr>
        <w:t xml:space="preserve"> </w:t>
      </w:r>
      <w:r w:rsidRPr="0082381C">
        <w:rPr>
          <w:b/>
          <w:sz w:val="24"/>
          <w:szCs w:val="24"/>
        </w:rPr>
        <w:t>012 Na Novém světě</w:t>
      </w:r>
      <w:r w:rsidRPr="0082381C">
        <w:rPr>
          <w:sz w:val="24"/>
          <w:szCs w:val="24"/>
        </w:rPr>
        <w:t xml:space="preserve"> v části Souš (k. ú. Most II), </w:t>
      </w:r>
      <w:r w:rsidRPr="0082381C">
        <w:rPr>
          <w:b/>
          <w:sz w:val="24"/>
          <w:szCs w:val="24"/>
        </w:rPr>
        <w:t>ZSJ 050 Souš</w:t>
      </w:r>
      <w:r w:rsidRPr="0082381C">
        <w:rPr>
          <w:sz w:val="24"/>
          <w:szCs w:val="24"/>
        </w:rPr>
        <w:t xml:space="preserve"> v části Souš (k. ú. Most II), </w:t>
      </w:r>
      <w:r w:rsidRPr="0082381C">
        <w:rPr>
          <w:b/>
          <w:sz w:val="24"/>
          <w:szCs w:val="24"/>
        </w:rPr>
        <w:t>ZSJ 014 Na Ovčíně</w:t>
      </w:r>
      <w:r w:rsidRPr="0082381C">
        <w:rPr>
          <w:sz w:val="24"/>
          <w:szCs w:val="24"/>
        </w:rPr>
        <w:t xml:space="preserve"> v části Most (k. ú. Most II), </w:t>
      </w:r>
      <w:r w:rsidRPr="0082381C">
        <w:rPr>
          <w:b/>
          <w:sz w:val="24"/>
          <w:szCs w:val="24"/>
        </w:rPr>
        <w:t>část</w:t>
      </w:r>
      <w:r w:rsidRPr="0082381C">
        <w:rPr>
          <w:sz w:val="24"/>
          <w:szCs w:val="24"/>
        </w:rPr>
        <w:t xml:space="preserve"> </w:t>
      </w:r>
      <w:r w:rsidRPr="0082381C">
        <w:rPr>
          <w:b/>
          <w:sz w:val="24"/>
          <w:szCs w:val="24"/>
        </w:rPr>
        <w:t xml:space="preserve">ulice Pod Širokým vrchem </w:t>
      </w:r>
      <w:r w:rsidRPr="003A7F6A">
        <w:rPr>
          <w:sz w:val="24"/>
          <w:szCs w:val="24"/>
        </w:rPr>
        <w:t>vymezená</w:t>
      </w:r>
      <w:r>
        <w:rPr>
          <w:b/>
          <w:sz w:val="24"/>
          <w:szCs w:val="24"/>
        </w:rPr>
        <w:t xml:space="preserve"> </w:t>
      </w:r>
      <w:r w:rsidRPr="0082381C">
        <w:rPr>
          <w:sz w:val="24"/>
          <w:szCs w:val="24"/>
        </w:rPr>
        <w:t>čísl</w:t>
      </w:r>
      <w:r>
        <w:rPr>
          <w:sz w:val="24"/>
          <w:szCs w:val="24"/>
        </w:rPr>
        <w:t>y</w:t>
      </w:r>
      <w:r w:rsidRPr="0082381C">
        <w:rPr>
          <w:sz w:val="24"/>
          <w:szCs w:val="24"/>
        </w:rPr>
        <w:t xml:space="preserve"> popisný</w:t>
      </w:r>
      <w:r>
        <w:rPr>
          <w:sz w:val="24"/>
          <w:szCs w:val="24"/>
        </w:rPr>
        <w:t>mi</w:t>
      </w:r>
      <w:r w:rsidRPr="0082381C">
        <w:rPr>
          <w:sz w:val="24"/>
          <w:szCs w:val="24"/>
        </w:rPr>
        <w:t xml:space="preserve"> 809, 810, 811, 812, 813, 814, 251, 1115, 1342, 821, 257, 225, 226, 763, 124, 281, 250, 1843, 249, 1825, 1844, 253, 1835, 1090</w:t>
      </w:r>
      <w:r>
        <w:rPr>
          <w:sz w:val="24"/>
          <w:szCs w:val="24"/>
        </w:rPr>
        <w:t xml:space="preserve"> v ZSJ 028 Pod Širokým</w:t>
      </w:r>
      <w:r w:rsidRPr="0082381C">
        <w:rPr>
          <w:b/>
          <w:sz w:val="24"/>
          <w:szCs w:val="24"/>
        </w:rPr>
        <w:t xml:space="preserve"> </w:t>
      </w:r>
      <w:r w:rsidRPr="003A7F6A">
        <w:rPr>
          <w:sz w:val="24"/>
          <w:szCs w:val="24"/>
        </w:rPr>
        <w:t>vrchem</w:t>
      </w:r>
      <w:r>
        <w:rPr>
          <w:b/>
          <w:sz w:val="24"/>
          <w:szCs w:val="24"/>
        </w:rPr>
        <w:t xml:space="preserve"> </w:t>
      </w:r>
      <w:r w:rsidRPr="00673A3C">
        <w:rPr>
          <w:sz w:val="24"/>
          <w:szCs w:val="24"/>
        </w:rPr>
        <w:t>v části Most</w:t>
      </w:r>
      <w:r>
        <w:rPr>
          <w:b/>
          <w:sz w:val="24"/>
          <w:szCs w:val="24"/>
        </w:rPr>
        <w:t xml:space="preserve"> </w:t>
      </w:r>
      <w:r w:rsidRPr="00522B7F">
        <w:rPr>
          <w:sz w:val="24"/>
          <w:szCs w:val="24"/>
        </w:rPr>
        <w:t>(</w:t>
      </w:r>
      <w:r w:rsidRPr="0082381C">
        <w:rPr>
          <w:sz w:val="24"/>
          <w:szCs w:val="24"/>
        </w:rPr>
        <w:t>k. ú. Most II</w:t>
      </w:r>
      <w:r>
        <w:rPr>
          <w:sz w:val="24"/>
          <w:szCs w:val="24"/>
        </w:rPr>
        <w:t>)</w:t>
      </w:r>
      <w:r w:rsidRPr="0082381C">
        <w:rPr>
          <w:sz w:val="24"/>
          <w:szCs w:val="24"/>
        </w:rPr>
        <w:t xml:space="preserve">, </w:t>
      </w:r>
      <w:r w:rsidRPr="0082381C">
        <w:rPr>
          <w:b/>
          <w:sz w:val="24"/>
          <w:szCs w:val="24"/>
        </w:rPr>
        <w:t xml:space="preserve">ulice Podlesí </w:t>
      </w:r>
      <w:r w:rsidRPr="0082381C">
        <w:rPr>
          <w:sz w:val="24"/>
          <w:szCs w:val="24"/>
        </w:rPr>
        <w:t xml:space="preserve">v ZSJ 039 Ressl-západ v části Most (k. ú. Hořany), koeficient ve výši </w:t>
      </w:r>
      <w:r w:rsidRPr="0082381C">
        <w:rPr>
          <w:b/>
          <w:sz w:val="24"/>
          <w:szCs w:val="24"/>
        </w:rPr>
        <w:t>1,6</w:t>
      </w:r>
      <w:r w:rsidRPr="0082381C">
        <w:rPr>
          <w:sz w:val="24"/>
          <w:szCs w:val="24"/>
        </w:rPr>
        <w:t>;</w:t>
      </w:r>
    </w:p>
    <w:p w14:paraId="3657063D" w14:textId="77777777" w:rsidR="00370954" w:rsidRPr="00E61375" w:rsidRDefault="00370954" w:rsidP="00370954">
      <w:pPr>
        <w:numPr>
          <w:ilvl w:val="0"/>
          <w:numId w:val="6"/>
        </w:numPr>
        <w:spacing w:before="120"/>
        <w:ind w:left="714" w:hanging="357"/>
        <w:jc w:val="both"/>
        <w:rPr>
          <w:sz w:val="24"/>
          <w:szCs w:val="24"/>
          <w:vertAlign w:val="superscript"/>
        </w:rPr>
      </w:pPr>
      <w:r w:rsidRPr="0082381C">
        <w:rPr>
          <w:b/>
          <w:sz w:val="24"/>
          <w:szCs w:val="24"/>
        </w:rPr>
        <w:t>ZSJ 053 Vtelno</w:t>
      </w:r>
      <w:r w:rsidRPr="0082381C">
        <w:rPr>
          <w:sz w:val="24"/>
          <w:szCs w:val="24"/>
        </w:rPr>
        <w:t xml:space="preserve"> v části Vtelno (k. ú. Vtelno), </w:t>
      </w:r>
      <w:r w:rsidRPr="0082381C">
        <w:rPr>
          <w:b/>
          <w:sz w:val="24"/>
          <w:szCs w:val="24"/>
        </w:rPr>
        <w:t>ZSJ 034 Rudolice</w:t>
      </w:r>
      <w:r w:rsidRPr="0082381C">
        <w:rPr>
          <w:sz w:val="24"/>
          <w:szCs w:val="24"/>
        </w:rPr>
        <w:t xml:space="preserve"> v části Rudolice (k. ú. Rudolice nad Bílinou), </w:t>
      </w:r>
      <w:r w:rsidRPr="0082381C">
        <w:rPr>
          <w:b/>
          <w:sz w:val="24"/>
          <w:szCs w:val="24"/>
        </w:rPr>
        <w:t>ZSJ 035 Keřový Vrch</w:t>
      </w:r>
      <w:r w:rsidRPr="0082381C">
        <w:rPr>
          <w:sz w:val="24"/>
          <w:szCs w:val="24"/>
        </w:rPr>
        <w:t xml:space="preserve"> v části Rudolice (k. ú. Rudolice nad Bílinou), </w:t>
      </w:r>
      <w:r w:rsidRPr="0082381C">
        <w:rPr>
          <w:b/>
          <w:sz w:val="24"/>
          <w:szCs w:val="24"/>
        </w:rPr>
        <w:t>ZSJ 041 Čepirohy</w:t>
      </w:r>
      <w:r w:rsidRPr="0082381C">
        <w:rPr>
          <w:sz w:val="24"/>
          <w:szCs w:val="24"/>
        </w:rPr>
        <w:t xml:space="preserve"> v části Čepirohy (k. ú. Čepirohy), </w:t>
      </w:r>
      <w:r w:rsidRPr="0082381C">
        <w:rPr>
          <w:b/>
          <w:sz w:val="24"/>
          <w:szCs w:val="24"/>
        </w:rPr>
        <w:t xml:space="preserve">ZSJ 059 Čepirohy-západ </w:t>
      </w:r>
      <w:r w:rsidRPr="0082381C">
        <w:rPr>
          <w:sz w:val="24"/>
          <w:szCs w:val="24"/>
        </w:rPr>
        <w:t xml:space="preserve">v části Čepirohy (k. ú. Čepirohy), </w:t>
      </w:r>
      <w:r w:rsidRPr="0082381C">
        <w:rPr>
          <w:b/>
          <w:sz w:val="24"/>
          <w:szCs w:val="24"/>
        </w:rPr>
        <w:t>ZSJ 060 Průmyslový obvod Bylany</w:t>
      </w:r>
      <w:r w:rsidRPr="0082381C">
        <w:rPr>
          <w:sz w:val="24"/>
          <w:szCs w:val="24"/>
        </w:rPr>
        <w:t xml:space="preserve"> v části Čepirohy </w:t>
      </w:r>
      <w:r>
        <w:rPr>
          <w:sz w:val="24"/>
          <w:szCs w:val="24"/>
        </w:rPr>
        <w:br/>
      </w:r>
      <w:r w:rsidRPr="003905CC">
        <w:rPr>
          <w:sz w:val="24"/>
          <w:szCs w:val="24"/>
        </w:rPr>
        <w:lastRenderedPageBreak/>
        <w:t xml:space="preserve">(k. ú. Čepirohy), </w:t>
      </w:r>
      <w:r w:rsidRPr="003905CC">
        <w:rPr>
          <w:b/>
          <w:sz w:val="24"/>
          <w:szCs w:val="24"/>
        </w:rPr>
        <w:t>ulice Skyřická</w:t>
      </w:r>
      <w:r w:rsidRPr="003905CC">
        <w:rPr>
          <w:sz w:val="24"/>
          <w:szCs w:val="24"/>
        </w:rPr>
        <w:t xml:space="preserve"> v ZSJ 068 v části Velebudice (k. ú. Skyřice), koeficient ve výši </w:t>
      </w:r>
      <w:r w:rsidRPr="003905CC">
        <w:rPr>
          <w:b/>
          <w:sz w:val="24"/>
          <w:szCs w:val="24"/>
        </w:rPr>
        <w:t>2,0</w:t>
      </w:r>
      <w:r w:rsidRPr="003905CC">
        <w:rPr>
          <w:sz w:val="24"/>
          <w:szCs w:val="24"/>
        </w:rPr>
        <w:t>.</w:t>
      </w:r>
      <w:r w:rsidRPr="0082381C">
        <w:rPr>
          <w:rStyle w:val="Znakapoznpodarou"/>
          <w:sz w:val="24"/>
          <w:szCs w:val="24"/>
        </w:rPr>
        <w:footnoteReference w:id="3"/>
      </w:r>
      <w:r w:rsidRPr="003905CC">
        <w:rPr>
          <w:sz w:val="24"/>
          <w:szCs w:val="24"/>
          <w:vertAlign w:val="superscript"/>
        </w:rPr>
        <w:t>)</w:t>
      </w:r>
      <w:r w:rsidRPr="003905CC">
        <w:rPr>
          <w:sz w:val="24"/>
          <w:szCs w:val="24"/>
          <w:vertAlign w:val="subscript"/>
        </w:rPr>
        <w:t xml:space="preserve"> </w:t>
      </w:r>
    </w:p>
    <w:p w14:paraId="3657063E" w14:textId="77777777" w:rsidR="00370954" w:rsidRPr="003905CC" w:rsidRDefault="00370954" w:rsidP="00370954">
      <w:pPr>
        <w:jc w:val="both"/>
        <w:rPr>
          <w:sz w:val="24"/>
          <w:szCs w:val="24"/>
          <w:vertAlign w:val="superscript"/>
        </w:rPr>
      </w:pPr>
    </w:p>
    <w:p w14:paraId="3657063F" w14:textId="38258C1E" w:rsidR="00370954" w:rsidRPr="00027540" w:rsidRDefault="00370954" w:rsidP="00370954">
      <w:pPr>
        <w:ind w:left="284" w:hanging="284"/>
        <w:jc w:val="both"/>
        <w:rPr>
          <w:sz w:val="24"/>
          <w:szCs w:val="24"/>
        </w:rPr>
      </w:pPr>
      <w:r w:rsidRPr="008F145C">
        <w:rPr>
          <w:sz w:val="24"/>
          <w:szCs w:val="24"/>
        </w:rPr>
        <w:t>2. Pro výpočet sazby daně ze staveb a jednotek u zdanitelných staveb uvedených v § 11 odst.</w:t>
      </w:r>
      <w:r>
        <w:rPr>
          <w:sz w:val="24"/>
          <w:szCs w:val="24"/>
        </w:rPr>
        <w:t xml:space="preserve"> </w:t>
      </w:r>
      <w:r w:rsidRPr="008F145C">
        <w:rPr>
          <w:sz w:val="24"/>
          <w:szCs w:val="24"/>
        </w:rPr>
        <w:t>1 písm. b) zákona o dani z nemovitých věcí</w:t>
      </w:r>
      <w:r w:rsidRPr="00DC565B">
        <w:rPr>
          <w:vertAlign w:val="superscript"/>
        </w:rPr>
        <w:footnoteReference w:id="4"/>
      </w:r>
      <w:r w:rsidRPr="00DC565B">
        <w:rPr>
          <w:sz w:val="24"/>
          <w:szCs w:val="24"/>
          <w:vertAlign w:val="superscript"/>
        </w:rPr>
        <w:t>)</w:t>
      </w:r>
      <w:r w:rsidRPr="008F145C">
        <w:rPr>
          <w:sz w:val="24"/>
          <w:szCs w:val="24"/>
        </w:rPr>
        <w:t xml:space="preserve"> a u zdanitelných staveb a jednotek uvedených v § 11 odst. 1 písm. c) zákona o dani z nemovitých věcí</w:t>
      </w:r>
      <w:r w:rsidRPr="00DC565B">
        <w:rPr>
          <w:vertAlign w:val="superscript"/>
        </w:rPr>
        <w:footnoteReference w:id="5"/>
      </w:r>
      <w:r w:rsidRPr="00DC565B">
        <w:rPr>
          <w:sz w:val="24"/>
          <w:szCs w:val="24"/>
          <w:vertAlign w:val="superscript"/>
        </w:rPr>
        <w:t>)</w:t>
      </w:r>
      <w:r w:rsidRPr="008F145C">
        <w:rPr>
          <w:sz w:val="24"/>
          <w:szCs w:val="24"/>
        </w:rPr>
        <w:t xml:space="preserve"> se stanoví dle § 11 odst. 3 písm. b) zákona o dani z</w:t>
      </w:r>
      <w:r w:rsidR="00665AD6">
        <w:rPr>
          <w:sz w:val="24"/>
          <w:szCs w:val="24"/>
        </w:rPr>
        <w:t> </w:t>
      </w:r>
      <w:r w:rsidRPr="008F145C">
        <w:rPr>
          <w:sz w:val="24"/>
          <w:szCs w:val="24"/>
        </w:rPr>
        <w:t xml:space="preserve">nemovitých věcí v celém městě koeficient ve výši </w:t>
      </w:r>
      <w:r w:rsidRPr="00027540">
        <w:rPr>
          <w:b/>
          <w:sz w:val="24"/>
          <w:szCs w:val="24"/>
        </w:rPr>
        <w:t>1,5</w:t>
      </w:r>
      <w:r w:rsidRPr="00027540">
        <w:rPr>
          <w:sz w:val="24"/>
          <w:szCs w:val="24"/>
        </w:rPr>
        <w:t>.</w:t>
      </w:r>
    </w:p>
    <w:p w14:paraId="36570640" w14:textId="77777777" w:rsidR="00370954" w:rsidRPr="00E47CBF" w:rsidRDefault="00370954" w:rsidP="00370954">
      <w:pPr>
        <w:spacing w:before="240"/>
        <w:jc w:val="center"/>
        <w:outlineLvl w:val="0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t>Čl. II</w:t>
      </w:r>
    </w:p>
    <w:p w14:paraId="36570641" w14:textId="77777777" w:rsidR="00370954" w:rsidRPr="00E47CBF" w:rsidRDefault="00370954" w:rsidP="00370954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Místní koeficient</w:t>
      </w:r>
    </w:p>
    <w:p w14:paraId="36570642" w14:textId="77777777" w:rsidR="00370954" w:rsidRPr="00E47CBF" w:rsidRDefault="00370954" w:rsidP="00370954">
      <w:pPr>
        <w:jc w:val="both"/>
        <w:rPr>
          <w:sz w:val="24"/>
          <w:szCs w:val="24"/>
        </w:rPr>
      </w:pPr>
    </w:p>
    <w:p w14:paraId="36570643" w14:textId="77777777" w:rsidR="00370954" w:rsidRDefault="00370954" w:rsidP="003709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území celého města se stanoví místní koeficient ve výši </w:t>
      </w:r>
      <w:r w:rsidRPr="0077118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,0</w:t>
      </w:r>
      <w:r w:rsidRPr="0077118E">
        <w:rPr>
          <w:sz w:val="24"/>
          <w:szCs w:val="24"/>
        </w:rPr>
        <w:t>.</w:t>
      </w:r>
      <w:r w:rsidRPr="0077118E">
        <w:rPr>
          <w:rStyle w:val="Znakapoznpodarou"/>
          <w:sz w:val="24"/>
          <w:szCs w:val="24"/>
        </w:rPr>
        <w:footnoteReference w:id="6"/>
      </w:r>
      <w:r w:rsidRPr="0077118E"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 </w:t>
      </w:r>
    </w:p>
    <w:p w14:paraId="36570644" w14:textId="77777777" w:rsidR="00370954" w:rsidRPr="00E47CBF" w:rsidRDefault="00370954" w:rsidP="00370954">
      <w:pPr>
        <w:spacing w:before="240"/>
        <w:jc w:val="center"/>
        <w:outlineLvl w:val="0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  <w:r>
        <w:rPr>
          <w:b/>
          <w:sz w:val="24"/>
          <w:szCs w:val="24"/>
        </w:rPr>
        <w:t>II</w:t>
      </w:r>
    </w:p>
    <w:p w14:paraId="36570645" w14:textId="77777777" w:rsidR="00370954" w:rsidRPr="00027540" w:rsidRDefault="00370954" w:rsidP="00370954">
      <w:pPr>
        <w:pStyle w:val="detail-odstavec"/>
        <w:spacing w:before="0" w:beforeAutospacing="0" w:after="0" w:afterAutospacing="0"/>
        <w:jc w:val="center"/>
        <w:rPr>
          <w:b/>
        </w:rPr>
      </w:pPr>
      <w:r w:rsidRPr="00E47CBF">
        <w:rPr>
          <w:b/>
        </w:rPr>
        <w:t xml:space="preserve">Zrušovací ustanovení </w:t>
      </w:r>
    </w:p>
    <w:p w14:paraId="36570646" w14:textId="77777777" w:rsidR="00370954" w:rsidRPr="00E47CBF" w:rsidRDefault="00370954" w:rsidP="00370954">
      <w:pPr>
        <w:jc w:val="center"/>
        <w:rPr>
          <w:b/>
          <w:i/>
          <w:sz w:val="24"/>
          <w:szCs w:val="24"/>
        </w:rPr>
      </w:pPr>
    </w:p>
    <w:p w14:paraId="36570647" w14:textId="77777777" w:rsidR="00370954" w:rsidRPr="00C979DE" w:rsidRDefault="00370954" w:rsidP="00C979DE">
      <w:pPr>
        <w:pStyle w:val="Nadpis3"/>
        <w:numPr>
          <w:ilvl w:val="0"/>
          <w:numId w:val="0"/>
        </w:numPr>
        <w:spacing w:before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>Zrušuje</w:t>
      </w:r>
      <w:r w:rsidRPr="00FF3EF0">
        <w:rPr>
          <w:rFonts w:cs="Times New Roman"/>
          <w:b w:val="0"/>
          <w:i w:val="0"/>
          <w:szCs w:val="24"/>
        </w:rPr>
        <w:t xml:space="preserve"> se </w:t>
      </w:r>
      <w:r>
        <w:rPr>
          <w:rFonts w:cs="Times New Roman"/>
          <w:b w:val="0"/>
          <w:i w:val="0"/>
          <w:szCs w:val="24"/>
        </w:rPr>
        <w:t>obecně závazná vyhláška č. 2/2014, o stanovení koeficientů pro výpočet daně z nemovitých věcí, ze dne 24. června 2014.</w:t>
      </w:r>
    </w:p>
    <w:p w14:paraId="36570648" w14:textId="77777777" w:rsidR="00370954" w:rsidRPr="00E47CBF" w:rsidRDefault="00370954" w:rsidP="00370954">
      <w:pPr>
        <w:pStyle w:val="Normlnweb"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E47CBF">
        <w:rPr>
          <w:rStyle w:val="Zdraznn"/>
          <w:b/>
          <w:bCs/>
          <w:i w:val="0"/>
        </w:rPr>
        <w:t xml:space="preserve">Čl. </w:t>
      </w:r>
      <w:r>
        <w:rPr>
          <w:rStyle w:val="Zdraznn"/>
          <w:b/>
          <w:bCs/>
          <w:i w:val="0"/>
        </w:rPr>
        <w:t>I</w:t>
      </w:r>
      <w:r w:rsidRPr="00E47CBF">
        <w:rPr>
          <w:rStyle w:val="Zdraznn"/>
          <w:b/>
          <w:bCs/>
          <w:i w:val="0"/>
        </w:rPr>
        <w:t>V</w:t>
      </w:r>
    </w:p>
    <w:p w14:paraId="36570649" w14:textId="77777777" w:rsidR="00370954" w:rsidRPr="00E47CBF" w:rsidRDefault="00370954" w:rsidP="00370954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3657064A" w14:textId="77777777" w:rsidR="00370954" w:rsidRPr="00E47CBF" w:rsidRDefault="00370954" w:rsidP="00370954">
      <w:pPr>
        <w:rPr>
          <w:sz w:val="24"/>
          <w:szCs w:val="24"/>
        </w:rPr>
      </w:pPr>
    </w:p>
    <w:p w14:paraId="3657064B" w14:textId="77777777" w:rsidR="00370954" w:rsidRPr="005574A3" w:rsidRDefault="00370954" w:rsidP="00370954">
      <w:pPr>
        <w:rPr>
          <w:sz w:val="24"/>
          <w:szCs w:val="24"/>
        </w:rPr>
      </w:pPr>
      <w:r>
        <w:rPr>
          <w:sz w:val="24"/>
          <w:szCs w:val="24"/>
        </w:rPr>
        <w:t>Tato vyhláška nabývá účinnosti dnem 1. ledna 2016.</w:t>
      </w:r>
    </w:p>
    <w:p w14:paraId="3657064C" w14:textId="77777777" w:rsidR="00370954" w:rsidRPr="00E47CBF" w:rsidRDefault="00370954" w:rsidP="00370954">
      <w:pPr>
        <w:rPr>
          <w:sz w:val="24"/>
          <w:szCs w:val="24"/>
        </w:rPr>
      </w:pPr>
    </w:p>
    <w:p w14:paraId="3657064D" w14:textId="77777777" w:rsidR="00370954" w:rsidRPr="00E47CBF" w:rsidRDefault="00370954" w:rsidP="00370954">
      <w:pPr>
        <w:rPr>
          <w:sz w:val="24"/>
          <w:szCs w:val="24"/>
        </w:rPr>
      </w:pPr>
    </w:p>
    <w:p w14:paraId="3657064E" w14:textId="77777777" w:rsidR="00370954" w:rsidRPr="00E47CBF" w:rsidRDefault="00370954" w:rsidP="00370954">
      <w:pPr>
        <w:rPr>
          <w:sz w:val="24"/>
          <w:szCs w:val="24"/>
        </w:rPr>
      </w:pPr>
    </w:p>
    <w:p w14:paraId="3657064F" w14:textId="77777777" w:rsidR="00370954" w:rsidRPr="00E47CBF" w:rsidRDefault="00370954" w:rsidP="00370954">
      <w:pPr>
        <w:rPr>
          <w:sz w:val="24"/>
          <w:szCs w:val="24"/>
        </w:rPr>
      </w:pPr>
    </w:p>
    <w:p w14:paraId="36570650" w14:textId="77777777" w:rsidR="00370954" w:rsidRPr="00E47CBF" w:rsidRDefault="00370954" w:rsidP="00370954">
      <w:pPr>
        <w:rPr>
          <w:sz w:val="24"/>
          <w:szCs w:val="24"/>
        </w:rPr>
      </w:pPr>
    </w:p>
    <w:p w14:paraId="36570651" w14:textId="77777777" w:rsidR="00370954" w:rsidRDefault="00370954" w:rsidP="00370954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36570652" w14:textId="77777777" w:rsidR="00370954" w:rsidRDefault="00370954" w:rsidP="00370954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36570653" w14:textId="77777777" w:rsidR="00370954" w:rsidRPr="00640DB6" w:rsidRDefault="00370954" w:rsidP="00370954">
      <w:pPr>
        <w:tabs>
          <w:tab w:val="center" w:pos="2268"/>
          <w:tab w:val="center" w:pos="7088"/>
        </w:tabs>
        <w:rPr>
          <w:sz w:val="24"/>
          <w:szCs w:val="24"/>
        </w:rPr>
      </w:pPr>
      <w:r>
        <w:rPr>
          <w:sz w:val="24"/>
          <w:szCs w:val="24"/>
        </w:rPr>
        <w:tab/>
        <w:t>Mgr. Jan Paparega</w:t>
      </w:r>
      <w:r>
        <w:rPr>
          <w:sz w:val="24"/>
          <w:szCs w:val="24"/>
        </w:rPr>
        <w:tab/>
        <w:t>Ing. Marek Hrvol</w:t>
      </w:r>
    </w:p>
    <w:p w14:paraId="36570654" w14:textId="77777777" w:rsidR="00370954" w:rsidRDefault="00370954" w:rsidP="00370954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  <w:t>primátor</w:t>
      </w:r>
      <w:r>
        <w:rPr>
          <w:sz w:val="24"/>
          <w:szCs w:val="24"/>
        </w:rPr>
        <w:t xml:space="preserve"> města</w:t>
      </w:r>
      <w:r>
        <w:rPr>
          <w:sz w:val="24"/>
          <w:szCs w:val="24"/>
        </w:rPr>
        <w:tab/>
        <w:t>náměstek primátora města</w:t>
      </w:r>
    </w:p>
    <w:p w14:paraId="36570655" w14:textId="77777777" w:rsidR="00370954" w:rsidRDefault="00370954" w:rsidP="00370954"/>
    <w:p w14:paraId="36570656" w14:textId="77777777" w:rsidR="00D301B4" w:rsidRDefault="00D301B4" w:rsidP="00D301B4">
      <w:pPr>
        <w:spacing w:after="200"/>
        <w:rPr>
          <w:sz w:val="24"/>
          <w:szCs w:val="24"/>
        </w:rPr>
      </w:pPr>
    </w:p>
    <w:p w14:paraId="36570657" w14:textId="77777777" w:rsidR="00F566B3" w:rsidRDefault="00F566B3" w:rsidP="00D301B4">
      <w:pPr>
        <w:spacing w:after="200"/>
        <w:rPr>
          <w:sz w:val="24"/>
          <w:szCs w:val="24"/>
        </w:rPr>
      </w:pPr>
    </w:p>
    <w:p w14:paraId="36570658" w14:textId="77777777" w:rsidR="00D301B4" w:rsidRPr="00F566B3" w:rsidRDefault="00D301B4" w:rsidP="00D301B4">
      <w:pPr>
        <w:spacing w:after="200"/>
        <w:rPr>
          <w:sz w:val="24"/>
          <w:szCs w:val="24"/>
        </w:rPr>
      </w:pPr>
      <w:r w:rsidRPr="00F566B3">
        <w:rPr>
          <w:sz w:val="24"/>
          <w:szCs w:val="24"/>
        </w:rPr>
        <w:t>Vyvěšeno na úřední desce dne: ___________________________</w:t>
      </w:r>
    </w:p>
    <w:p w14:paraId="36570659" w14:textId="77777777" w:rsidR="00275A10" w:rsidRPr="00F566B3" w:rsidRDefault="00D301B4" w:rsidP="00D301B4">
      <w:pPr>
        <w:spacing w:after="200"/>
        <w:rPr>
          <w:sz w:val="24"/>
          <w:szCs w:val="24"/>
        </w:rPr>
      </w:pPr>
      <w:r w:rsidRPr="00F566B3">
        <w:rPr>
          <w:sz w:val="24"/>
          <w:szCs w:val="24"/>
        </w:rPr>
        <w:t>Sejmuto z úřední desky dne: _____________________________</w:t>
      </w:r>
    </w:p>
    <w:p w14:paraId="3657065A" w14:textId="77777777" w:rsidR="00977DA8" w:rsidRPr="00F566B3" w:rsidRDefault="00D301B4" w:rsidP="00D301B4">
      <w:pPr>
        <w:spacing w:after="200"/>
        <w:rPr>
          <w:sz w:val="24"/>
          <w:szCs w:val="24"/>
        </w:rPr>
      </w:pPr>
      <w:r w:rsidRPr="00F566B3">
        <w:rPr>
          <w:sz w:val="24"/>
          <w:szCs w:val="24"/>
        </w:rPr>
        <w:t>Zveřejnění potvrzuje odbor vnitřní správy: __________________</w:t>
      </w:r>
    </w:p>
    <w:sectPr w:rsidR="00977DA8" w:rsidRPr="00F566B3" w:rsidSect="00121E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7069B" w14:textId="77777777" w:rsidR="0038662F" w:rsidRDefault="0038662F" w:rsidP="00C154D1">
      <w:r>
        <w:separator/>
      </w:r>
    </w:p>
  </w:endnote>
  <w:endnote w:type="continuationSeparator" w:id="0">
    <w:p w14:paraId="3657069C" w14:textId="77777777" w:rsidR="0038662F" w:rsidRDefault="0038662F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069F" w14:textId="77777777" w:rsidR="0067413C" w:rsidRDefault="006741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06A0" w14:textId="3347A388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665AD6">
      <w:rPr>
        <w:noProof/>
        <w:sz w:val="18"/>
        <w:szCs w:val="18"/>
      </w:rPr>
      <w:t>2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665AD6">
      <w:rPr>
        <w:noProof/>
        <w:sz w:val="18"/>
        <w:szCs w:val="18"/>
      </w:rPr>
      <w:t>2</w:t>
    </w:r>
    <w:r w:rsidR="00121EA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06A2" w14:textId="77777777" w:rsidR="0067413C" w:rsidRDefault="006741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70699" w14:textId="77777777" w:rsidR="0038662F" w:rsidRDefault="0038662F" w:rsidP="00C154D1">
      <w:r>
        <w:separator/>
      </w:r>
    </w:p>
  </w:footnote>
  <w:footnote w:type="continuationSeparator" w:id="0">
    <w:p w14:paraId="3657069A" w14:textId="77777777" w:rsidR="0038662F" w:rsidRDefault="0038662F" w:rsidP="00C154D1">
      <w:r>
        <w:continuationSeparator/>
      </w:r>
    </w:p>
  </w:footnote>
  <w:footnote w:id="1">
    <w:p w14:paraId="365706A3" w14:textId="77777777" w:rsidR="00370954" w:rsidRPr="004B3D43" w:rsidRDefault="00370954" w:rsidP="00370954">
      <w:pPr>
        <w:pStyle w:val="Textpoznpodarou"/>
        <w:jc w:val="both"/>
        <w:rPr>
          <w:sz w:val="2"/>
          <w:szCs w:val="2"/>
        </w:rPr>
      </w:pPr>
    </w:p>
  </w:footnote>
  <w:footnote w:id="2">
    <w:p w14:paraId="365706A4" w14:textId="77777777" w:rsidR="00370954" w:rsidRDefault="00370954" w:rsidP="00370954">
      <w:pPr>
        <w:pStyle w:val="Textpoznpodarou"/>
      </w:pPr>
      <w:r>
        <w:rPr>
          <w:rStyle w:val="Znakapoznpodarou"/>
        </w:rPr>
        <w:t>1</w:t>
      </w:r>
      <w:r w:rsidRPr="00E03C9F">
        <w:rPr>
          <w:vertAlign w:val="superscript"/>
        </w:rPr>
        <w:t>)</w:t>
      </w:r>
      <w:r>
        <w:t xml:space="preserve"> - </w:t>
      </w:r>
      <w:r w:rsidRPr="004006BB">
        <w:t>budovy obytn</w:t>
      </w:r>
      <w:r>
        <w:t>ých</w:t>
      </w:r>
      <w:r w:rsidRPr="004006BB">
        <w:t xml:space="preserve"> dom</w:t>
      </w:r>
      <w:r>
        <w:t>ů</w:t>
      </w:r>
      <w:r w:rsidRPr="005A4FA6">
        <w:rPr>
          <w:color w:val="0070C0"/>
        </w:rPr>
        <w:t xml:space="preserve"> </w:t>
      </w:r>
      <w:r w:rsidRPr="004006BB">
        <w:t>a ostatní budov</w:t>
      </w:r>
      <w:r>
        <w:t xml:space="preserve">y tvořící příslušenství k budovám </w:t>
      </w:r>
      <w:r w:rsidRPr="004006BB">
        <w:t>obytn</w:t>
      </w:r>
      <w:r>
        <w:t>ých</w:t>
      </w:r>
      <w:r w:rsidRPr="004006BB">
        <w:t xml:space="preserve"> dom</w:t>
      </w:r>
      <w:r>
        <w:t>ů</w:t>
      </w:r>
    </w:p>
    <w:p w14:paraId="365706A5" w14:textId="77777777" w:rsidR="00370954" w:rsidRDefault="00370954" w:rsidP="00370954">
      <w:pPr>
        <w:pStyle w:val="Textpoznpodarou"/>
        <w:jc w:val="both"/>
      </w:pPr>
      <w:r>
        <w:t xml:space="preserve">  </w:t>
      </w:r>
      <w:r w:rsidRPr="006F2BEA">
        <w:rPr>
          <w:rStyle w:val="Znakapoznpodarou"/>
        </w:rPr>
        <w:t xml:space="preserve"> </w:t>
      </w:r>
      <w:r>
        <w:rPr>
          <w:rStyle w:val="Znakapoznpodarou"/>
        </w:rPr>
        <w:t xml:space="preserve"> </w:t>
      </w:r>
      <w:r>
        <w:t>- ostatní jednotky</w:t>
      </w:r>
    </w:p>
    <w:p w14:paraId="365706A7" w14:textId="677799E5" w:rsidR="00370954" w:rsidRPr="00994969" w:rsidRDefault="00370954" w:rsidP="00370954">
      <w:pPr>
        <w:pStyle w:val="Textpoznpodarou"/>
        <w:jc w:val="both"/>
      </w:pPr>
      <w:r>
        <w:rPr>
          <w:rStyle w:val="Znakapoznpodarou"/>
        </w:rPr>
        <w:t>2</w:t>
      </w:r>
      <w:r w:rsidRPr="00E03C9F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- základní sídelní jednotka ve smyslu § 2 písm. s) zákona č. 89/1995 Sb., o státní statistické službě,</w:t>
      </w:r>
      <w:r w:rsidRPr="007139FB">
        <w:t xml:space="preserve"> </w:t>
      </w:r>
      <w:r>
        <w:t>ve znění pozdějších zákonů (</w:t>
      </w:r>
      <w:r w:rsidRPr="00994969">
        <w:t>jednotka představující části území obce s jednoznačnými územně technickými</w:t>
      </w:r>
      <w:r>
        <w:t xml:space="preserve"> a urbanistickými</w:t>
      </w:r>
      <w:r w:rsidRPr="007139FB">
        <w:t xml:space="preserve"> </w:t>
      </w:r>
      <w:r w:rsidRPr="00994969">
        <w:t>podmínkami nebo spádová území seskupení objektů obytného nebo rekreačního charakteru</w:t>
      </w:r>
      <w:r>
        <w:t xml:space="preserve">); území základní sídelní jednotky je vymezeno v registru územní identifikace ve smyslu § 31 odst. 1 písm. o) zákona č. 111/2009 Sb., o základních registrech, ve znění pozdějších předpisů </w:t>
      </w:r>
      <w:bookmarkStart w:id="0" w:name="_GoBack"/>
      <w:bookmarkEnd w:id="0"/>
    </w:p>
  </w:footnote>
  <w:footnote w:id="3">
    <w:p w14:paraId="365706A8" w14:textId="77777777" w:rsidR="00370954" w:rsidRPr="00522B7F" w:rsidRDefault="00370954" w:rsidP="00370954">
      <w:pPr>
        <w:pStyle w:val="Textpoznpodarou"/>
        <w:rPr>
          <w:sz w:val="2"/>
          <w:szCs w:val="2"/>
        </w:rPr>
      </w:pPr>
    </w:p>
  </w:footnote>
  <w:footnote w:id="4">
    <w:p w14:paraId="365706A9" w14:textId="77777777" w:rsidR="00370954" w:rsidRPr="00E61375" w:rsidRDefault="00370954" w:rsidP="00370954">
      <w:pPr>
        <w:pStyle w:val="Textpoznpodarou"/>
        <w:jc w:val="both"/>
      </w:pPr>
      <w:r>
        <w:rPr>
          <w:rStyle w:val="Znakapoznpodarou"/>
        </w:rPr>
        <w:t>3</w:t>
      </w:r>
      <w:r w:rsidRPr="00E03C9F">
        <w:rPr>
          <w:vertAlign w:val="superscript"/>
        </w:rPr>
        <w:t>)</w:t>
      </w:r>
      <w:r>
        <w:t xml:space="preserve"> - </w:t>
      </w:r>
      <w:r w:rsidRPr="00BA6DAA">
        <w:t xml:space="preserve">u </w:t>
      </w:r>
      <w:r>
        <w:t xml:space="preserve">zbývajících </w:t>
      </w:r>
      <w:r w:rsidRPr="00BA6DAA">
        <w:t>částí</w:t>
      </w:r>
      <w:r>
        <w:t xml:space="preserve"> </w:t>
      </w:r>
      <w:r w:rsidRPr="00BA6DAA">
        <w:t xml:space="preserve">zůstává zachován koeficient stanovený zákonem o dani z nemovitých věcí ve výši </w:t>
      </w:r>
      <w:r>
        <w:t>3,5</w:t>
      </w:r>
    </w:p>
    <w:p w14:paraId="365706AA" w14:textId="77777777" w:rsidR="00370954" w:rsidRPr="004006BB" w:rsidRDefault="00370954" w:rsidP="00370954">
      <w:pPr>
        <w:pStyle w:val="Textpoznpodarou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 xml:space="preserve">- </w:t>
      </w:r>
      <w:r w:rsidRPr="004006BB">
        <w:t xml:space="preserve">budovy pro rodinnou rekreaci a budovy </w:t>
      </w:r>
      <w:r>
        <w:t>rodinných</w:t>
      </w:r>
      <w:r w:rsidRPr="004006BB">
        <w:t xml:space="preserve"> dom</w:t>
      </w:r>
      <w:r>
        <w:t>ů</w:t>
      </w:r>
      <w:r w:rsidRPr="004006BB">
        <w:t xml:space="preserve"> využívané pro rodinno</w:t>
      </w:r>
      <w:r>
        <w:t xml:space="preserve">u rekreaci a budovy, které plní </w:t>
      </w:r>
      <w:r w:rsidRPr="004006BB">
        <w:t>doplňkovou funkci k těmto budovám, s výjimkou garáž</w:t>
      </w:r>
      <w:r>
        <w:t>í</w:t>
      </w:r>
    </w:p>
  </w:footnote>
  <w:footnote w:id="5">
    <w:p w14:paraId="365706AB" w14:textId="77777777" w:rsidR="00370954" w:rsidRPr="004006BB" w:rsidRDefault="00370954" w:rsidP="00370954">
      <w:pPr>
        <w:pStyle w:val="Textpoznpodarou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- garáže vystavěné odděleně od budov obytných domů a jednotky, </w:t>
      </w:r>
      <w:r>
        <w:t>jejichž</w:t>
      </w:r>
      <w:r w:rsidRPr="004006BB">
        <w:t xml:space="preserve"> převažující část podlahové plochy je užívána jako garáž</w:t>
      </w:r>
    </w:p>
    <w:p w14:paraId="365706AC" w14:textId="77777777" w:rsidR="00370954" w:rsidRPr="004006BB" w:rsidRDefault="00370954" w:rsidP="00370954">
      <w:pPr>
        <w:pStyle w:val="Textpoznpodarou"/>
        <w:jc w:val="both"/>
      </w:pPr>
      <w:r>
        <w:rPr>
          <w:vertAlign w:val="superscript"/>
        </w:rPr>
        <w:t>6</w:t>
      </w:r>
      <w:r w:rsidRPr="004006BB">
        <w:rPr>
          <w:vertAlign w:val="superscript"/>
        </w:rPr>
        <w:t>)</w:t>
      </w:r>
      <w:r w:rsidRPr="004006BB">
        <w:t xml:space="preserve"> Tímto koeficientem se vynásobí daň poplatníka za jednotlivé druhy pozemků, zdanitelných staveb nebo jednotek, popřípadě jejich souhrny, s výjimkou pozemků uvedených v § 5 odst. 1 zákona </w:t>
      </w:r>
      <w:r>
        <w:t>o dani z nemovitých věcí</w:t>
      </w:r>
      <w:r w:rsidRPr="004006BB">
        <w:t xml:space="preserve"> (pozemky orné půdy, chmelnic, vinic, zahrad, ovocných sadů a trvalých travních porostů).</w:t>
      </w:r>
    </w:p>
  </w:footnote>
  <w:footnote w:id="6">
    <w:p w14:paraId="365706AD" w14:textId="77777777" w:rsidR="00370954" w:rsidRPr="00E61375" w:rsidRDefault="00370954" w:rsidP="00370954">
      <w:pPr>
        <w:pStyle w:val="Textpoznpodarou"/>
        <w:jc w:val="both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069D" w14:textId="77777777" w:rsidR="0067413C" w:rsidRDefault="006741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069E" w14:textId="77777777" w:rsidR="0067413C" w:rsidRDefault="006741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06A1" w14:textId="77777777" w:rsidR="0067413C" w:rsidRDefault="006741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1C07"/>
    <w:multiLevelType w:val="hybridMultilevel"/>
    <w:tmpl w:val="0650A0C2"/>
    <w:lvl w:ilvl="0" w:tplc="B958ED1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Jarmila Hlaváčková"/>
    <w:docVar w:name="EISOD_ATTACHMENTS" w:val="Není k dispozici"/>
    <w:docVar w:name="EISOD_ATTACHMENTS_COUNT" w:val="0"/>
    <w:docVar w:name="EISOD_CISLO_KARTY" w:val="12207"/>
    <w:docVar w:name="EISOD_DOC_GENERIC_1" w:val="30.09.2015"/>
    <w:docVar w:name="EISOD_DOC_GENERIC_2" w:val="01.10.2015"/>
    <w:docVar w:name="EISOD_DOC_GENERIC_3" w:val="19.10.2015"/>
    <w:docVar w:name="EISOD_DOC_GENERIC_4" w:val="01.01.2016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5/2015"/>
    <w:docVar w:name="EISOD_DOC_NAME" w:val="Obecně závazná vyhláška č. 5_2015 o stanovení koeficientů pro výpočet daně z nemovitých věcí.docx"/>
    <w:docVar w:name="EISOD_DOC_NAME_BEZ_PRIPONY" w:val="Obecně závazná vyhláška č. 5_2015 o stanovení koeficientů pro výpočet daně z nemovitých věcí"/>
    <w:docVar w:name="EISOD_DOC_OFZMPROTOKOL" w:val="&lt;HTML&gt;&lt;BODY&gt;&lt;DIV STYLE=&quot;text-align:Justify;font-family:Georgia;font-style:normal;font-weight:normal;font-size:16;color:#000000;&quot;&gt;&lt;P STYLE=&quot;font-family:MS Sans Serif;font-size:10.666666666666666;margin:0 0 0 0;&quot;&gt;&lt;SPAN&gt;&lt;SPAN&gt;Nahrána verze, která byla schválena na ZmM 30.9.2015&lt;/SPAN&gt;&lt;/SPAN&gt;&lt;/P&gt;&lt;P /&gt;&lt;/DIV&gt;&lt;/BODY&gt;&lt;/HTML&gt;"/>
    <w:docVar w:name="EISOD_DOC_OZNACENI" w:val="5/2015"/>
    <w:docVar w:name="EISOD_DOC_POPIS" w:val="OZV"/>
    <w:docVar w:name="EISOD_DOC_POZNAMKA" w:val="Zpracoval: OF._x000d__x000a_Zveřejňuje se na webových stránkách města._x000d__x000a_"/>
    <w:docVar w:name="EISOD_DOC_SOUVISEJICI_DOKUMENTY" w:val="Není k dispozici"/>
    <w:docVar w:name="EISOD_DOC_TYP" w:val="02 Právní předpisy města - rok 2015"/>
    <w:docVar w:name="EISOD_DOCUMENT_STATE" w:val="Aktuální"/>
    <w:docVar w:name="EISOD_LANGUAGE_MUTATIONS" w:val="Není k dispozici"/>
    <w:docVar w:name="EISOD_LAST_REVISION_DATE" w:val="01.01.2016"/>
    <w:docVar w:name="EISOD_NADRIZENY_DOKUMENT" w:val="Není k dispozici"/>
    <w:docVar w:name="EISOD_NEW_LAST_REVISION_DATE" w:val="02.02.2017"/>
    <w:docVar w:name="EISOD_PODRIZENE_DOKUMENTY" w:val="Není k dispozici"/>
    <w:docVar w:name="EISOD_REVISION_NUMBER" w:val="A.1"/>
    <w:docVar w:name="EISOD_SCHVALOVATEL_NAME" w:val="Petr Krupička, Petr Krupička, Jana Macháčková, Jana Macháčková"/>
    <w:docVar w:name="EISOD_SCHVALOVATELII_NAME" w:val="Čejková Jana [Uživatel], Hlaváčková Jarmila [Manažer kvality] a Švarcová Romana [Manažer kvality]"/>
    <w:docVar w:name="EISOD_SKARTACNI_ZNAK_A_LHUTA" w:val="A/5"/>
    <w:docVar w:name="EISOD_ZPRACOVATEL_NAME" w:val="Dvořáková Jiřina"/>
  </w:docVars>
  <w:rsids>
    <w:rsidRoot w:val="00485609"/>
    <w:rsid w:val="000048D2"/>
    <w:rsid w:val="000054F2"/>
    <w:rsid w:val="00011923"/>
    <w:rsid w:val="000206A3"/>
    <w:rsid w:val="00025B24"/>
    <w:rsid w:val="00034D9E"/>
    <w:rsid w:val="00057877"/>
    <w:rsid w:val="0005796D"/>
    <w:rsid w:val="000710D4"/>
    <w:rsid w:val="00073384"/>
    <w:rsid w:val="000B3E58"/>
    <w:rsid w:val="000E7AE9"/>
    <w:rsid w:val="00121EA8"/>
    <w:rsid w:val="001327C4"/>
    <w:rsid w:val="00133557"/>
    <w:rsid w:val="0013448E"/>
    <w:rsid w:val="00143F09"/>
    <w:rsid w:val="0015617C"/>
    <w:rsid w:val="00160AB9"/>
    <w:rsid w:val="00163864"/>
    <w:rsid w:val="00172832"/>
    <w:rsid w:val="00174279"/>
    <w:rsid w:val="00182320"/>
    <w:rsid w:val="0018358A"/>
    <w:rsid w:val="0018485D"/>
    <w:rsid w:val="001A441B"/>
    <w:rsid w:val="001C1524"/>
    <w:rsid w:val="001C5B76"/>
    <w:rsid w:val="001F1749"/>
    <w:rsid w:val="001F1837"/>
    <w:rsid w:val="001F7784"/>
    <w:rsid w:val="00200DF5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39FC"/>
    <w:rsid w:val="002B4C8F"/>
    <w:rsid w:val="002B5A66"/>
    <w:rsid w:val="002B7451"/>
    <w:rsid w:val="002D15B4"/>
    <w:rsid w:val="002D2CB4"/>
    <w:rsid w:val="002D6D94"/>
    <w:rsid w:val="002E192B"/>
    <w:rsid w:val="00301501"/>
    <w:rsid w:val="0032302A"/>
    <w:rsid w:val="00343BD2"/>
    <w:rsid w:val="00356D52"/>
    <w:rsid w:val="00370954"/>
    <w:rsid w:val="00374960"/>
    <w:rsid w:val="0037667B"/>
    <w:rsid w:val="0038178A"/>
    <w:rsid w:val="003854C1"/>
    <w:rsid w:val="0038662F"/>
    <w:rsid w:val="003A23EA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64D6D"/>
    <w:rsid w:val="00467851"/>
    <w:rsid w:val="004767E2"/>
    <w:rsid w:val="004771C1"/>
    <w:rsid w:val="0048542B"/>
    <w:rsid w:val="00485609"/>
    <w:rsid w:val="004913A7"/>
    <w:rsid w:val="00491A0F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555D"/>
    <w:rsid w:val="005615BF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4706"/>
    <w:rsid w:val="005C48BE"/>
    <w:rsid w:val="005C78BC"/>
    <w:rsid w:val="005C7C2D"/>
    <w:rsid w:val="005E4A26"/>
    <w:rsid w:val="00600574"/>
    <w:rsid w:val="006254F2"/>
    <w:rsid w:val="00640DB6"/>
    <w:rsid w:val="00644C02"/>
    <w:rsid w:val="006517FB"/>
    <w:rsid w:val="00651AD3"/>
    <w:rsid w:val="006523D9"/>
    <w:rsid w:val="00652C62"/>
    <w:rsid w:val="00652E29"/>
    <w:rsid w:val="0066024F"/>
    <w:rsid w:val="00665AD6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B31F5"/>
    <w:rsid w:val="006C3EA5"/>
    <w:rsid w:val="006D1F24"/>
    <w:rsid w:val="006F240A"/>
    <w:rsid w:val="006F56B1"/>
    <w:rsid w:val="007062D4"/>
    <w:rsid w:val="00736371"/>
    <w:rsid w:val="00741DEA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800B90"/>
    <w:rsid w:val="00804DC8"/>
    <w:rsid w:val="00816BA0"/>
    <w:rsid w:val="00820C7B"/>
    <w:rsid w:val="008236B8"/>
    <w:rsid w:val="00827C5E"/>
    <w:rsid w:val="0085061A"/>
    <w:rsid w:val="008940F2"/>
    <w:rsid w:val="008C5493"/>
    <w:rsid w:val="008F003D"/>
    <w:rsid w:val="0091229F"/>
    <w:rsid w:val="00930E73"/>
    <w:rsid w:val="009418D1"/>
    <w:rsid w:val="00950DBF"/>
    <w:rsid w:val="009618EB"/>
    <w:rsid w:val="0096517E"/>
    <w:rsid w:val="00977DA8"/>
    <w:rsid w:val="0099118C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A6842"/>
    <w:rsid w:val="00AB0EB5"/>
    <w:rsid w:val="00AC7119"/>
    <w:rsid w:val="00AE145E"/>
    <w:rsid w:val="00AE1A24"/>
    <w:rsid w:val="00AF5397"/>
    <w:rsid w:val="00B04D26"/>
    <w:rsid w:val="00B16954"/>
    <w:rsid w:val="00B263EE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7D28"/>
    <w:rsid w:val="00BB0B88"/>
    <w:rsid w:val="00BC5519"/>
    <w:rsid w:val="00BE7F1C"/>
    <w:rsid w:val="00BF1B70"/>
    <w:rsid w:val="00BF5BD5"/>
    <w:rsid w:val="00BF7467"/>
    <w:rsid w:val="00C038B6"/>
    <w:rsid w:val="00C12755"/>
    <w:rsid w:val="00C154D1"/>
    <w:rsid w:val="00C17699"/>
    <w:rsid w:val="00C32633"/>
    <w:rsid w:val="00C45304"/>
    <w:rsid w:val="00C45960"/>
    <w:rsid w:val="00C528DA"/>
    <w:rsid w:val="00C813ED"/>
    <w:rsid w:val="00C82BFA"/>
    <w:rsid w:val="00C964A6"/>
    <w:rsid w:val="00C979DE"/>
    <w:rsid w:val="00CA17C7"/>
    <w:rsid w:val="00CB143E"/>
    <w:rsid w:val="00CB3E06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6024A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11AD9"/>
    <w:rsid w:val="00E27EB2"/>
    <w:rsid w:val="00E47CBF"/>
    <w:rsid w:val="00E551B1"/>
    <w:rsid w:val="00E55BE8"/>
    <w:rsid w:val="00E5646E"/>
    <w:rsid w:val="00E7008D"/>
    <w:rsid w:val="00E7137B"/>
    <w:rsid w:val="00E75645"/>
    <w:rsid w:val="00EB6990"/>
    <w:rsid w:val="00EE3952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57062B"/>
  <w15:docId w15:val="{97F08F0F-C0D0-456E-BAAA-ADD111E9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E1A24"/>
  </w:style>
  <w:style w:type="character" w:customStyle="1" w:styleId="TextpoznpodarouChar">
    <w:name w:val="Text pozn. pod čarou Char"/>
    <w:link w:val="Textpoznpodarou"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37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0561097-DD20-46B8-BBED-8E6278E7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3</cp:revision>
  <dcterms:created xsi:type="dcterms:W3CDTF">2023-05-03T14:22:00Z</dcterms:created>
  <dcterms:modified xsi:type="dcterms:W3CDTF">2023-05-03T14:26:00Z</dcterms:modified>
</cp:coreProperties>
</file>