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93" w:lineRule="exact"/>
        <w:rPr>
          <w:sz w:val="24"/>
          <w:szCs w:val="24"/>
          <w:color w:val="auto"/>
        </w:rPr>
      </w:pPr>
    </w:p>
    <w:p>
      <w:pPr>
        <w:jc w:val="center"/>
        <w:ind w:right="1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Vyhláška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č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 2/97</w:t>
      </w:r>
    </w:p>
    <w:p>
      <w:pPr>
        <w:spacing w:after="0" w:line="117" w:lineRule="exact"/>
        <w:rPr>
          <w:sz w:val="24"/>
          <w:szCs w:val="24"/>
          <w:color w:val="auto"/>
        </w:rPr>
      </w:pPr>
    </w:p>
    <w:p>
      <w:pPr>
        <w:jc w:val="center"/>
        <w:ind w:right="5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Obecního 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ř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adu Vrané nad Vltavou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jc w:val="center"/>
        <w:ind w:right="1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o udržování bezpe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č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nosti, klidu,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istoty a hygieny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jc w:val="both"/>
        <w:ind w:left="4" w:right="140" w:firstLine="46"/>
        <w:spacing w:after="0" w:line="236" w:lineRule="auto"/>
        <w:tabs>
          <w:tab w:leader="none" w:pos="26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souladu se zákonem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367/90 Sb., o obcích, §14, písm.r)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l.1. ve zn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pozd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jších zm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 a dopl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usneslo se obecní zastupitelstvo obce Vrané nad Vltavou, vedeno snahou prohloubit pé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istotu a vzhled obce a zlepšit obyvatel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pobyt v obci, vydat toto obecn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závazné 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ízení.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1.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jc w:val="center"/>
        <w:ind w:right="2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Úvod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Udržování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istoty a hezkého vzhledu, zlepšování hygienických pom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ochrana životního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edí, dodržování klidu a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ádku, je spole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nou povinností všech 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kte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v obci žijí trvale, pobývají v obci za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elem rekreace,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se zde zdržují z jiných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by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jen do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asn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Všichni spole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musí dbát na dodržování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íslušných vyhlášek, zákon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i na dodržování této vyhlášky.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2.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jc w:val="center"/>
        <w:ind w:right="7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Definice ve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ejného prostranství</w: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ind w:left="4" w:right="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Pro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ely této vyhlášky se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ejným prostranstvím rozumí všechna místa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ístupná nebo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ená k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ejnému užívání, bez ohledu na vlastnické vztahy, zejména: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veškeré komunikace, chodníky, schodišt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šiny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ejná zele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parky, sady, lesní pozemky, strán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louky, zatravn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né plochy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všechny druhy 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jiných sportovních a zábavných ploch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odstavné a parkovací plochy</w:t>
      </w:r>
    </w:p>
    <w:p>
      <w:pPr>
        <w:spacing w:after="0" w:line="11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vodní zóny a plochy, potoky,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eka (v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ehových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ástí), studny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00" w:firstLine="46"/>
        <w:spacing w:after="0" w:line="235" w:lineRule="auto"/>
        <w:tabs>
          <w:tab w:leader="none" w:pos="208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pomocná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- jako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íklad -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osv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tlení v obci, obecní rozhlas,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rozvodu elektrické energie, telefonní vedení, atd.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80" w:hanging="4"/>
        <w:spacing w:after="0" w:line="235" w:lineRule="auto"/>
        <w:tabs>
          <w:tab w:leader="none" w:pos="15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veškerý obecní majetek - obytné budovy, školy, ma te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ské školy,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ívoz, sb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rný odpadový dv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r, dopl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kové obecní stavby,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veškerého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íslušenství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bitov, kostel s okolím, pomník padlým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okolí</w:t>
      </w:r>
    </w:p>
    <w:p>
      <w:pPr>
        <w:spacing w:after="0" w:line="11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zastávky a stanice vlak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autobus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apod.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mostky, mosty, lávky všeho druhu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kanalizace a objekt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istírny odpadních vod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erpání, akumulaci a rozvodu pitné i užitkové vody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dopravní zna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ení, dopravní uzáv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ry a jiná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nostní opat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</w:t>
      </w:r>
    </w:p>
    <w:p>
      <w:pPr>
        <w:spacing w:after="0" w:line="11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státní a obecní symboly, znaky, vlajky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plakátovací plochy, plochy pro reklamu a informace, obecní  výv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sky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3.</w:t>
      </w:r>
    </w:p>
    <w:p>
      <w:pPr>
        <w:spacing w:after="0" w:line="125" w:lineRule="exact"/>
        <w:rPr>
          <w:sz w:val="24"/>
          <w:szCs w:val="24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Zákazy</w:t>
      </w:r>
    </w:p>
    <w:p>
      <w:pPr>
        <w:spacing w:after="0" w:line="116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Je zakázáno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nebo jinak znehodnocovat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prostranství.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Zejména je zakázáno :</w:t>
      </w:r>
    </w:p>
    <w:p>
      <w:pPr>
        <w:spacing w:after="0" w:line="128" w:lineRule="exact"/>
        <w:rPr>
          <w:sz w:val="24"/>
          <w:szCs w:val="24"/>
          <w:color w:val="auto"/>
        </w:rPr>
      </w:pPr>
    </w:p>
    <w:p>
      <w:pPr>
        <w:ind w:left="4" w:right="140" w:hanging="4"/>
        <w:spacing w:after="0" w:line="235" w:lineRule="auto"/>
        <w:tabs>
          <w:tab w:leader="none" w:pos="213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odhazovat smetí a odpadky, papíry, nedopalky cigaret, obaly od potravin, poživatin a nápoj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zbytky ovoce a jídel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odkládat popel mimo nádoby k tomu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urené</w:t>
      </w:r>
    </w:p>
    <w:p>
      <w:pPr>
        <w:sectPr>
          <w:pgSz w:w="11900" w:h="16840" w:orient="portrait"/>
          <w:cols w:equalWidth="0" w:num="1">
            <w:col w:w="9204"/>
          </w:cols>
          <w:pgMar w:left="1416" w:top="1440" w:right="1280" w:bottom="1017" w:gutter="0" w:footer="0" w:header="0"/>
        </w:sectPr>
      </w:pPr>
    </w:p>
    <w:bookmarkStart w:id="1" w:name="page2"/>
    <w:bookmarkEnd w:id="1"/>
    <w:p>
      <w:pPr>
        <w:ind w:left="4" w:right="140" w:hanging="4"/>
        <w:spacing w:after="0" w:line="235" w:lineRule="auto"/>
        <w:tabs>
          <w:tab w:leader="none" w:pos="213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a ohrožovat vodní toky, vodní nádrže a potoky odpadky, splaškovými a fekálními vodami nebo i jinými nebezpe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nými tekutinami (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nafta,olej ..) a ostatním materiálem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60" w:hanging="4"/>
        <w:spacing w:after="0" w:line="235" w:lineRule="auto"/>
        <w:tabs>
          <w:tab w:leader="none" w:pos="261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vypoušt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 fekální a splaškové vody na jiné místo než do obecní kanaliza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sít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nejedná-li se o vody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né nep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ípustnými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semi (na 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 se vztahuje zvláštní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 likvidace)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f)-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prostranství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ecími výkaly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g)- odstavovat nepojízdná a odhlášená vozidla, nebovraky vozidel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odkládat nebo ukládat jakékoliv hmoty, materiál, tekutiny, stavebniny, stav. odpad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zakládat jakékoliv nepovolené skládky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5" w:lineRule="auto"/>
        <w:tabs>
          <w:tab w:leader="none" w:pos="22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zavážet, zasypávat, zahrazovat nebo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pehrazovat toky potok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 a jiných vodních nádrží,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nit tok vodote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a um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le zvyšovat jejich hladiny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ni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ejnou zele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poškozováním, zcizováním nebo mýcením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4" w:right="1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l) - vylepovat plakáty, inzeráty, volební plakáty,nabídky zboží a služeb, reklamy apod., jinam než na místa k 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mto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obcí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ená nebo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ízená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m) - umis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pouta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a reklamy bez povolení obce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n) - využívat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ejná místa (prostranství) k nabízení obcí nepovolených služeb jako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ke stánkovému prodeji, shromaž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ď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ování osob, nabízení osobních služeb, k žebrot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apod.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hanging="4"/>
        <w:spacing w:after="0" w:line="233" w:lineRule="auto"/>
        <w:tabs>
          <w:tab w:leader="none" w:pos="251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nechat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nívat porosty mimo hranice nemovitostí a bránit tak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ádnému užívání chodník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cest,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ádné funkci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ejného osv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tlení, bránit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ádné funkci elektrických rozvod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elektrické energie, obecního rozhlasu apod.</w:t>
      </w:r>
    </w:p>
    <w:p>
      <w:pPr>
        <w:spacing w:after="0" w:line="131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5" w:lineRule="auto"/>
        <w:tabs>
          <w:tab w:leader="none" w:pos="302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zakládat nepovolené skryté skládky odpadk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(nap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kempování, stanování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turistice), formou odpadových jam, jam a trativod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na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né vody a fekálie, i když pozd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ji zasypané.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184" w:hanging="184"/>
        <w:spacing w:after="0"/>
        <w:tabs>
          <w:tab w:leader="none" w:pos="184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a neuklízet okolí prodejen, prodejních stánk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provozoven, restaurací a jiných podnik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bez povolení užívat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ejná prostranství k odkládání plavidel všeho druhu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jc w:val="center"/>
        <w:ind w:right="5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4.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282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Udržování po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ádku a bezpe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nosti v obci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4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Pro zajišt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ádku a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nosti v obci je zakázáno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264" w:hanging="214"/>
        <w:spacing w:after="0"/>
        <w:tabs>
          <w:tab w:leader="none" w:pos="264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rušit jakýmkoliv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sobem no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klid v dob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od 22,00 do  6,00  hod.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160" w:firstLine="46"/>
        <w:spacing w:after="0" w:line="236" w:lineRule="auto"/>
        <w:tabs>
          <w:tab w:leader="none" w:pos="287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používat hlasité zdroje zvuku nebo hluku po celý den i v noci, jako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.motorová vozidla s nefunk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ními tlumi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i, hlasitou reprodkuci slova i hudby, motorové pily, seka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ky, brusky apod.,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ekra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ující povolenou hranici hluku hygienickými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edpisy, nebo podstatnou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rou obt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žující okolí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5" w:lineRule="auto"/>
        <w:tabs>
          <w:tab w:leader="none" w:pos="21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 ned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lích užívat jakékoliv zdroje hluku, které by nadm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rným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sobem obt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žovaly okolí i když nep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esahují normy stanovené hygienickými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edpisy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right="1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d) - používání a odpalování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dlobuch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výbušek, poplašných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poplašných pistolí, rachejtlí, sv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tlic apod. v denní i no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dob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v obydlené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ásti obce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right="200" w:hanging="4"/>
        <w:spacing w:after="0" w:line="233" w:lineRule="auto"/>
        <w:tabs>
          <w:tab w:leader="none" w:pos="23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parkovat v obci nákladními automobily, autobusy, traktory, pracovními stroji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prostranstvích bez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edchozího povolení obce a bez zaplacení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íslušného poplatku (viz. Vyhláška o místních poplatcích)</w:t>
      </w:r>
    </w:p>
    <w:p>
      <w:pPr>
        <w:spacing w:after="0" w:line="121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84" w:hanging="184"/>
        <w:spacing w:after="0"/>
        <w:tabs>
          <w:tab w:leader="none" w:pos="18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užívat chodníky, silnice, parky, lesy, louky, 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elové prostory apod. k jiným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než pro jaké jsou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eny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5" w:lineRule="auto"/>
        <w:tabs>
          <w:tab w:leader="none" w:pos="239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volné pobíhání domácí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zve všeho druhu (psi, dr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bež, hospod.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ata apod.) po komunikacích 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ístupných místech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jc w:val="center"/>
        <w:ind w:right="5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5.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5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Udržování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istoty a po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ádku</w:t>
      </w:r>
    </w:p>
    <w:p>
      <w:pPr>
        <w:spacing w:after="0" w:line="113" w:lineRule="exact"/>
        <w:rPr>
          <w:sz w:val="20"/>
          <w:szCs w:val="20"/>
          <w:color w:val="auto"/>
        </w:rPr>
      </w:pPr>
    </w:p>
    <w:p>
      <w:pPr>
        <w:ind w:left="4"/>
        <w:spacing w:after="0"/>
        <w:tabs>
          <w:tab w:leader="none" w:pos="2384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Každý je povinen udržovat ve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ř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ejná  prostranství zp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ů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sobem a v rozsahu jeho ur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č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ení :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right="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a) -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provád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stavebních, opravá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ských, výkopových apod. pracích musí být stavební p rostory upraveny tak, aby nedocházelo k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ování okolí 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ejného prostranství. Stavební materiál, su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materiál z výkop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sm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jí být uloženy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ejném prostranství jen na základ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písemného povolení obecního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 (stavební komise). Provád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jící osoba nebo podnik musí materiál pravideln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odvážet a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 ukon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ením termínu povolení musí být místo uvedeno do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vodního stavu, resp. musí být spln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ny podmínky povolení. Za povolení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že být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tován</w:t>
      </w:r>
    </w:p>
    <w:p>
      <w:pPr>
        <w:sectPr>
          <w:pgSz w:w="11900" w:h="16840" w:orient="portrait"/>
          <w:cols w:equalWidth="0" w:num="1">
            <w:col w:w="9224"/>
          </w:cols>
          <w:pgMar w:left="1416" w:top="1417" w:right="1260" w:bottom="928" w:gutter="0" w:footer="0" w:header="0"/>
        </w:sectPr>
      </w:pPr>
    </w:p>
    <w:bookmarkStart w:id="2" w:name="page3"/>
    <w:bookmarkEnd w:id="2"/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poplatek podle obecní vyhlášky o místních poplatcích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jc w:val="both"/>
        <w:ind w:left="4" w:right="200" w:hanging="4"/>
        <w:spacing w:after="0" w:line="236" w:lineRule="auto"/>
        <w:tabs>
          <w:tab w:leader="none" w:pos="266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ádný odvoz domovních odpadk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je povinen zajiš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majitel objektu (m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že být na základ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dohody zastoupen správcem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uživatelem objektu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najatou firmou nebo jinou osobou) na svoje náklady. Majitel je rovn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 povinen starat se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ádný stav jeho nemovitosti a udržovat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istotu a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ádek uvnit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i vn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objektu,</w:t>
      </w:r>
    </w:p>
    <w:p>
      <w:pPr>
        <w:spacing w:after="0" w:line="132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140" w:hanging="4"/>
        <w:spacing w:after="0" w:line="236" w:lineRule="auto"/>
        <w:tabs>
          <w:tab w:leader="none" w:pos="218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majitel objektu je povinen starat se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ádný hygienický stav objektu,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as provád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deratizaci, zamezit unikání zápachu z objektu do okolí (nap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chovu dr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beže a jiné zv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e, tlejícími odpadky,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etékajícími žumpami, spalováním odpadk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vzniká-li nebezpe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ný, dusivý nebo nepropustný dým apod.)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00" w:hanging="4"/>
        <w:spacing w:after="0" w:line="237" w:lineRule="auto"/>
        <w:tabs>
          <w:tab w:leader="none" w:pos="273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odpady vzniklé podnikatelskou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inností je povinen na svoje náklady likvidovat podnikatel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sobem neodporujícím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íslušným vyhláškám, zákon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a jiným právním normám. Odpady takto vzniklé nelz likvidovat využitím obecního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eného pro sb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 a odvoz komunálního odpadu od 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ledaže by se jednalo o ujednání mezi podnikatelem a obcí o uložení odpadu za úhradu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00" w:hanging="4"/>
        <w:spacing w:after="0" w:line="235" w:lineRule="auto"/>
        <w:tabs>
          <w:tab w:leader="none" w:pos="242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tve strom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ke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jiných porost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musí být ošet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eny tak, aby z hranic nemovitosti nep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esahovaly vn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oplocení, nevr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staly do vedení elektrického proudu,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ejného osv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tlení a obecního rozhlasu.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jc w:val="center"/>
        <w:ind w:right="9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6.-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19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Chov a držení zví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ectva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4" w:right="1300" w:hanging="4"/>
        <w:spacing w:after="0" w:line="355" w:lineRule="auto"/>
        <w:tabs>
          <w:tab w:leader="none" w:pos="21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volné pobíhání domácího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ectvazví i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ectva chovného a užitkového po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prostranstvích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chov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ectva nesmí ohrožovat hygienu,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istotu a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 osob a majetku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hanging="4"/>
        <w:spacing w:after="0" w:line="235" w:lineRule="auto"/>
        <w:tabs>
          <w:tab w:leader="none" w:pos="213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chov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ectva nesmí narušovat sousedské vztahy obt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žováním hlukem, zápachem, poškozováním majetku a jiných práv druhých osob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psi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prostranstvích musí mít náhubek a musí být v edeni  na vodítku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k držení a chovu zv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musí být souhlas majitele objektu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chovat a držet zv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v prostorách škol a školek, v místnostech pohostinských a sloužících</w:t>
      </w:r>
    </w:p>
    <w:p>
      <w:pPr>
        <w:ind w:left="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ejnému stravování, v prodejnách potravin a v místnostech, kde jsou poskytovány. hygienické služby osobám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p>
      <w:pPr>
        <w:ind w:left="4" w:right="200" w:hanging="4"/>
        <w:spacing w:after="0" w:line="235" w:lineRule="auto"/>
        <w:tabs>
          <w:tab w:leader="none" w:pos="242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vodit zv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do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tských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a sloužících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tským hrám, na sportovní 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cvi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na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tská pískovišt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na koupališt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osob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00" w:hanging="4"/>
        <w:spacing w:after="0" w:line="235" w:lineRule="auto"/>
        <w:tabs>
          <w:tab w:leader="none" w:pos="237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ecími výkaly musí být chovatelem (majitelem, doprov odnou osobou) neprodlen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odstran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40" w:hanging="4"/>
        <w:spacing w:after="0" w:line="233" w:lineRule="auto"/>
        <w:tabs>
          <w:tab w:leader="none" w:pos="225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majitel musí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ihlásit psa staršího 6-ti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síc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obecnímu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 k registraci a musí zaplatit stanovený poplatek. Psa je povinen ozna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it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lenou registra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známkou</w:t>
      </w:r>
    </w:p>
    <w:p>
      <w:pPr>
        <w:spacing w:after="0" w:line="131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200" w:hanging="4"/>
        <w:spacing w:after="0" w:line="235" w:lineRule="auto"/>
        <w:tabs>
          <w:tab w:leader="none" w:pos="201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majitele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 (v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 jsou povinni nechat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ata v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edepsaných termínech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kovat proti typickým chorobám a o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kování mít písemný doklad. Majitel je povinen sledovat vyhlášky o ochranných opat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eních a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4" w:right="20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vyhlášek bezpodmíne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dodržovat. Na požádání kontrolního orgánu je povine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edložit 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kovací pr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kaz a potvrzení o zaplacení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edepsaného poplatku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íp. jiné související doklady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4" w:right="200" w:hanging="4"/>
        <w:spacing w:after="0" w:line="235" w:lineRule="auto"/>
        <w:tabs>
          <w:tab w:leader="none" w:pos="273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toulavá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ata budou pochytána a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edána specializovanému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k pé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i. Bude-li zjišt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 majitel takového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ete, budou mu veškeré s tím vynaložené náklady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peú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továny k náhrad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100" w:hanging="4"/>
        <w:spacing w:after="0" w:line="236" w:lineRule="auto"/>
        <w:tabs>
          <w:tab w:leader="none" w:pos="18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výstavy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ectva, sout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že,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ehlídky a výcvik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 se sm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jí v obci konat a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ádat jen na základ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žádosti provozovatele takové akce, po ud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lení povolení obecním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adem, se souhlasem veteriná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nebo s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domím hygienické služby.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jc w:val="center"/>
        <w:ind w:right="9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7.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jc w:val="center"/>
        <w:ind w:right="9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Udržování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istoty na vozovkách a chodnících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4" w:right="140" w:hanging="4"/>
        <w:spacing w:after="0" w:line="236" w:lineRule="auto"/>
        <w:tabs>
          <w:tab w:leader="none" w:pos="21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užívání dopravních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které svým technickým stavem,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sobem uložení nákladu, nebo svým nákladem ni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nebo poškozují vozovku,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ují ovzduší (prachem, zápachem...),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ují cesty nebo chodníky (nap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ztrácením nákladu, únikem mazacích a chladicíchmoth ...)</w:t>
      </w:r>
    </w:p>
    <w:p>
      <w:pPr>
        <w:spacing w:after="0" w:line="122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odstavovat nebo parkovat vozidla nichžz uniká palivo, mazací hmoty nebo chladicí kapaliny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40" w:hanging="4"/>
        <w:spacing w:after="0" w:line="236" w:lineRule="auto"/>
        <w:tabs>
          <w:tab w:leader="none" w:pos="254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bez svolení obecního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aduú užívat vozovky a chodníky ke skladování 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zného materiálu, odstavování (odkládání) vozidel všeho druhu nebo ívatuž je k jiným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než pro které byly vybudovány (nap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k trvalému odkládání popelnic, ke stánkovémudeji,pro umis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ování reklam</w:t>
      </w:r>
    </w:p>
    <w:p>
      <w:pPr>
        <w:sectPr>
          <w:pgSz w:w="11900" w:h="16840" w:orient="portrait"/>
          <w:cols w:equalWidth="0" w:num="1">
            <w:col w:w="9264"/>
          </w:cols>
          <w:pgMar w:left="1416" w:top="1408" w:right="1220" w:bottom="948" w:gutter="0" w:footer="0" w:header="0"/>
        </w:sectPr>
      </w:pPr>
    </w:p>
    <w:bookmarkStart w:id="3" w:name="page4"/>
    <w:bookmarkEnd w:id="3"/>
    <w:p>
      <w:pPr>
        <w:ind w:left="4" w:right="140" w:hanging="4"/>
        <w:spacing w:after="0" w:line="235" w:lineRule="auto"/>
        <w:tabs>
          <w:tab w:leader="none" w:pos="246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istotu,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 a stav obecních komunikací jejich úklid a sjízdnost odpovídá obec. Silnice Zvole-Vrané-Zbraslav je ve správ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státu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7" w:lineRule="auto"/>
        <w:tabs>
          <w:tab w:leader="none" w:pos="28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istotu ,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 a stav chodník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jejich úklid,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schodiš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podél nemovitostí a míst považovaných za chodník zodpovídá majitel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ilehlé nemovitosti. Chodníky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izuje obec. Pokud není vybudován chodník, považuje se za 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 v intravilánu obce pás podél plotu nemovitosti m(s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rem k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ilehlé komunikaci) v ší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1,5 m. Chodníky musí být udržovány sch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dné,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isté, v zim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musí být odklizen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as sníh a náledí a povrch musí být ošet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 posypem proti uklouznutí</w:t>
      </w:r>
    </w:p>
    <w:p>
      <w:pPr>
        <w:spacing w:after="0" w:line="134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20" w:hanging="4"/>
        <w:spacing w:after="0" w:line="235" w:lineRule="auto"/>
        <w:tabs>
          <w:tab w:leader="none" w:pos="191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nádoby na popel smí být uloženy na chodníku jen v den svozu popela, v ostatních dnech musí být nádoby na popel odklizeny z chodník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80" w:hanging="4"/>
        <w:spacing w:after="0" w:line="237" w:lineRule="auto"/>
        <w:tabs>
          <w:tab w:leader="none" w:pos="22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v obci na chodnících, komunikacích jiných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prostranstvích parkovat nákladními auty, autobusy, traktory, vleky, zvl. mechanismy a jinými rozm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jšími dopravními a mech.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edky. Výjimku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že povolit obec písemným povolením a po stanovení p odmínek (poplatky, zajišt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místa proti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životního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edí, pr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jezdnost apod.)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220" w:hanging="4"/>
        <w:spacing w:after="0" w:line="237" w:lineRule="auto"/>
        <w:tabs>
          <w:tab w:leader="none" w:pos="242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mytí vozidel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jných prostranstvích a v blízkosti vodních zdroj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tok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by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jsou tyto i uvnit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nemovitostí. Stejn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tak je zakázáno 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chto místech vozidla opravovat, rozebírat, vypoušt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 z vozidla kapaliny (pohonné hmoty, mazadla, chladicí tekutiny), vym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ovat oleje, se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izovat motory. Mycí voda nesmí vytékat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prostranství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64"/>
        <w:spacing w:after="0"/>
        <w:tabs>
          <w:tab w:leader="none" w:pos="164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stanování a autokempink jsou dovoleny jen v místech pro tento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ízených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20" w:hanging="4"/>
        <w:spacing w:after="0" w:line="235" w:lineRule="auto"/>
        <w:tabs>
          <w:tab w:leader="none" w:pos="208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jezdit motorovými vozidly mimo vozovky, do lesních porost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do polí, do vodních tok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na plochy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ené pro sport, na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tská 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20" w:hanging="4"/>
        <w:spacing w:after="0" w:line="236" w:lineRule="auto"/>
        <w:tabs>
          <w:tab w:leader="none" w:pos="222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mimo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ádné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všech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prostranství,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etn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cest a chodník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je povinen bezodkladn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odstranit ten, kdo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sobil (t.j. dovoz stav.hmot, topných materiál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apod.),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ípadn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ten komu byl materiál poskytován.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jc w:val="center"/>
        <w:ind w:right="1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8.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1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Plochy plakátovací a reklamní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4" w:right="220" w:hanging="4"/>
        <w:spacing w:after="0" w:line="236" w:lineRule="auto"/>
        <w:tabs>
          <w:tab w:leader="none" w:pos="242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k vylepování plakát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jsou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eny výv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sní tabule obecního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adu. Jejich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ástí jsou zasklené sk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ky pro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ední sd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lení obecního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adu. Nikdo nesmí bez svolení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elepovat aktuelní plakáty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výv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sky nebo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ední sk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ky. Jakékoliv ni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 nebo jiné znehodnocování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chto ploch je zakázáno</w:t>
      </w:r>
    </w:p>
    <w:p>
      <w:pPr>
        <w:spacing w:after="0" w:line="132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jc w:val="both"/>
        <w:ind w:left="4" w:right="220" w:hanging="4"/>
        <w:spacing w:after="0" w:line="236" w:lineRule="auto"/>
        <w:tabs>
          <w:tab w:leader="none" w:pos="266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vyv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šovat plakáty, výv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sky, nabídky služeb a jiná sd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lení, kdekoliv jinde mimo oficielní výv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sní tabule (nap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na rozvad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elektrického proudu, na sloupy elektrického vedení, na zdi a dve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dom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na ploty, na 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ny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ekáren, na ploty apod.)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20" w:hanging="4"/>
        <w:spacing w:after="0" w:line="235" w:lineRule="auto"/>
        <w:tabs>
          <w:tab w:leader="none" w:pos="227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popisování a pomalovávání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znýchr ploch, zdí, fasád, plot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dopravních zna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ek, informa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ních tabulí a.j. bez svolení majitele objektu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20" w:hanging="4"/>
        <w:spacing w:after="0" w:line="233" w:lineRule="auto"/>
        <w:tabs>
          <w:tab w:leader="none" w:pos="261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pro reklamu do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asnou i trvalou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 prostranstvích platí povolovací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na obecním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adu. Povolení je vázáno na vyhlášku obce o místních poplatcích</w:t>
      </w:r>
    </w:p>
    <w:p>
      <w:pPr>
        <w:spacing w:after="0" w:line="131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60" w:hanging="4"/>
        <w:spacing w:after="0" w:line="235" w:lineRule="auto"/>
        <w:tabs>
          <w:tab w:leader="none" w:pos="210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reklamní tabule, pouta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 a jiná reklamní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 nesmí stínit do oken, zahrad apod., nesmí ohr ožovat chodce a dopravu na komunikacích a nesmí stínit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ejnému osv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tlení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60" w:hanging="4"/>
        <w:spacing w:after="0" w:line="236" w:lineRule="auto"/>
        <w:tabs>
          <w:tab w:leader="none" w:pos="196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pro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edvolební kampan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nebo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ídí obec na vhodných místech do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asné reklamní plochy, které smí být užívány volebními subjekty rovným dílem, plakáty nesmí být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elepovány. Pro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edvolební agitaci se nesmí používat jiných míst než ta, která k tomu ú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elu byla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ízena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i jiným subjektem na jeho nemovitosti.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jc w:val="center"/>
        <w:ind w:right="1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9.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1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Rozd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lávání oh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ňů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, vater, pálení smetí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4" w:hanging="4"/>
        <w:spacing w:after="0" w:line="235" w:lineRule="auto"/>
        <w:tabs>
          <w:tab w:leader="none" w:pos="273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vodu požární 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nosti musí být organizované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ádání oslav spojených se zapálením vatry (táboráku)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edemp nahlášeno místním hasi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 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ejné shromážd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 oznámeno obci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220" w:hanging="4"/>
        <w:spacing w:after="0" w:line="235" w:lineRule="auto"/>
        <w:tabs>
          <w:tab w:leader="none" w:pos="316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ohe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musí být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zabezpe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en, aby nemohl zp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sobit škody v okolí a neobt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žoval kou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em nezainteresované osoby.</w:t>
      </w:r>
    </w:p>
    <w:p>
      <w:pPr>
        <w:spacing w:after="0" w:line="12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100" w:hanging="4"/>
        <w:spacing w:after="0" w:line="235" w:lineRule="auto"/>
        <w:tabs>
          <w:tab w:leader="none" w:pos="244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 ohni se nesmí pálit organická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edidla, barvy, plastické hmoty, guma a jiné nebezpe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né odpady, které mohou dýmem nebo toxickými zplodinami ohrozit život ní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edí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44" w:hanging="244"/>
        <w:spacing w:after="0"/>
        <w:tabs>
          <w:tab w:leader="none" w:pos="244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je zakázáno plošné vypalování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ovin,k trávy, strání apod.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vodu nebezpe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rozší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ení ohn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z 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vodu</w:t>
      </w:r>
    </w:p>
    <w:p>
      <w:pPr>
        <w:sectPr>
          <w:pgSz w:w="11900" w:h="16840" w:orient="portrait"/>
          <w:cols w:equalWidth="0" w:num="1">
            <w:col w:w="9284"/>
          </w:cols>
          <w:pgMar w:left="1416" w:top="1417" w:right="1200" w:bottom="1077" w:gutter="0" w:footer="0" w:header="0"/>
        </w:sectPr>
      </w:pPr>
    </w:p>
    <w:bookmarkStart w:id="4" w:name="page5"/>
    <w:bookmarkEnd w:id="4"/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ochrany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írody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right="80" w:hanging="4"/>
        <w:spacing w:after="0" w:line="235" w:lineRule="auto"/>
        <w:tabs>
          <w:tab w:leader="none" w:pos="215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 spalování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listí,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tví, trávy apod. by se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 pálit jen suchý materiál. Kou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em nesmí být obt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žováno okolí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žádný ohe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(vatra, táborák, ohništ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) nesmí být ponechán bez dozoru osob.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 opušt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ním místa musí být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4" w:right="1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ohništ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zcela uhašeno, nap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ulito vodou. U každého ohn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podle jeho rozsahu musí být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ipraven dostatek hasebních prost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10.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1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Odpady, odpadové hospodá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ství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v obci není z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ízena žádná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ejná skládka odpad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hanging="4"/>
        <w:spacing w:after="0" w:line="237" w:lineRule="auto"/>
        <w:tabs>
          <w:tab w:leader="none" w:pos="222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zakládání a užívání nepovolených skládek jekázánoza. Odkládání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edmp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odpad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zbytk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potravin, smetí, sut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stavebních hmot, popela, shnilého ovoce a zeleniny, klestí a 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tví, vysekaného k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oví, posekané trávy,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ásti stroj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za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ízení, odpady z domácností i podnikatelské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innosti apod., kdekoliv v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írod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na ve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ejných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prostranstvích je v každém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považování za zakládání nepovolené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erné( skládky)</w:t>
      </w:r>
    </w:p>
    <w:p>
      <w:pPr>
        <w:spacing w:after="0" w:line="13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4" w:right="40" w:hanging="4"/>
        <w:spacing w:after="0"/>
        <w:tabs>
          <w:tab w:leader="none" w:pos="232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ízené odpadové hospodá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ství v obci se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ídí zvláštním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edpisem. K odkládání odpad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 domácností je v obci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 tzv.sb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rný odpadový dv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r pod 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bitovem. Slouží 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m, kte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 mají trvalý pobyt v obci. Ostatní ob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ané a podnikatelé mají možnost odkládat tam odpadyjen podle možností "dvora", po dohod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se správcem a za podmínek stanovených zvláštním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edpisem. V každém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se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ebírají odpady jen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rozt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né podle ur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ených druh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které odpady jsou správcem dvora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pevzaty jen spolu s úhradou náklad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na jejich likvidaci.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lánek 11.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center"/>
        <w:ind w:right="3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Záv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re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b w:val="1"/>
          <w:bCs w:val="1"/>
          <w:color w:val="auto"/>
        </w:rPr>
        <w:t>ná ustanovení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4" w:right="140" w:hanging="4"/>
        <w:spacing w:after="0" w:line="235" w:lineRule="auto"/>
        <w:tabs>
          <w:tab w:leader="none" w:pos="244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nedodržení ustanovení tohoto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edpisu m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že mít za následek stíhání pro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pestupek nebo i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ípadn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ě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pro trestný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in podle platných zákon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a na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ízení</w:t>
      </w:r>
    </w:p>
    <w:p>
      <w:pPr>
        <w:spacing w:after="0" w:line="11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264" w:hanging="214"/>
        <w:spacing w:after="0"/>
        <w:tabs>
          <w:tab w:leader="none" w:pos="264" w:val="left"/>
        </w:tabs>
        <w:numPr>
          <w:ilvl w:val="1"/>
          <w:numId w:val="21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zrušují se následující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ády a vyhlášky obce :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domovní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 platný od 1.1.1977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 o dodržování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istoty a po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ádku obce platná od 1.5.1977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 o chovu a držení ps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ko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ek a jiných zví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at platná od 1.7.1983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2/90 - Domovní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ád – (výpis), platná od 27.12.1990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3/92 o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estupcích platná od 21.5.1992</w:t>
      </w:r>
    </w:p>
    <w:p>
      <w:pPr>
        <w:spacing w:after="0" w:line="118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4/92 o ukládání odpad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 obci platná od 18.6.1992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5/92 o zpoplat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ň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ování malých zdroj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ů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zne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iš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ť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ování ovzduší platná od 18.6.1992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6/92 o povinnosti p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ř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ipojit se na kanalizaci</w:t>
      </w:r>
    </w:p>
    <w:p>
      <w:pPr>
        <w:spacing w:after="0" w:line="120" w:lineRule="exact"/>
        <w:rPr>
          <w:rFonts w:ascii="Times New Roman" w:cs="Times New Roman" w:eastAsia="Times New Roman" w:hAnsi="Times New Roman"/>
          <w:sz w:val="20"/>
          <w:szCs w:val="20"/>
          <w:color w:val="auto"/>
        </w:rPr>
      </w:pPr>
    </w:p>
    <w:p>
      <w:pPr>
        <w:ind w:left="164" w:hanging="114"/>
        <w:spacing w:after="0"/>
        <w:tabs>
          <w:tab w:leader="none" w:pos="16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vyhláška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č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5/95 o domovním odpadu platná od 15.7.95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4" w:right="120" w:firstLine="46"/>
        <w:spacing w:after="0" w:line="233" w:lineRule="auto"/>
        <w:tabs>
          <w:tab w:leader="none" w:pos="302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 tato vyhláška byla schválena obecním zastupitelstvem dne 21.5.1997, byla vyhlášena dne 22.5.1997 a nabyla právní moci dnem 10.6.1997.</w:t>
      </w:r>
    </w:p>
    <w:p>
      <w:pPr>
        <w:sectPr>
          <w:pgSz w:w="11900" w:h="16840" w:orient="portrait"/>
          <w:cols w:equalWidth="0" w:num="1">
            <w:col w:w="9204"/>
          </w:cols>
          <w:pgMar w:left="1416" w:top="1408" w:right="128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144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Ing Zden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ě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k Selichar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Bohuslava Chvátalová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2">
            <w:col w:w="3604" w:space="720"/>
            <w:col w:w="4880"/>
          </w:cols>
          <w:pgMar w:left="1416" w:top="1408" w:right="1280" w:bottom="1440" w:gutter="0" w:footer="0" w:header="0"/>
          <w:type w:val="continuous"/>
        </w:sectPr>
      </w:pPr>
    </w:p>
    <w:p>
      <w:pPr>
        <w:ind w:left="1444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zástupce starostky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starostka obce</w:t>
      </w:r>
    </w:p>
    <w:sectPr>
      <w:pgSz w:w="11900" w:h="16840" w:orient="portrait"/>
      <w:cols w:equalWidth="0" w:num="2">
        <w:col w:w="3984" w:space="720"/>
        <w:col w:w="4500"/>
      </w:cols>
      <w:pgMar w:left="1416" w:top="1408" w:right="12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6EF438D"/>
    <w:multiLevelType w:val="hybridMultilevel"/>
    <w:lvl w:ilvl="0">
      <w:lvlJc w:val="left"/>
      <w:lvlText w:val="%1"/>
      <w:numFmt w:val="upperLetter"/>
      <w:start w:val="22"/>
    </w:lvl>
  </w:abstractNum>
  <w:abstractNum w:abstractNumId="1">
    <w:nsid w:val="140E0F76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2">
    <w:nsid w:val="3352255A"/>
    <w:multiLevelType w:val="hybridMultilevel"/>
    <w:lvl w:ilvl="0">
      <w:lvlJc w:val="left"/>
      <w:lvlText w:val="%1)"/>
      <w:numFmt w:val="lowerLetter"/>
      <w:start w:val="1"/>
    </w:lvl>
  </w:abstractNum>
  <w:abstractNum w:abstractNumId="3">
    <w:nsid w:val="109CF92E"/>
    <w:multiLevelType w:val="hybridMultilevel"/>
    <w:lvl w:ilvl="0">
      <w:lvlJc w:val="left"/>
      <w:lvlText w:val="%1)"/>
      <w:numFmt w:val="lowerLetter"/>
      <w:start w:val="3"/>
    </w:lvl>
  </w:abstractNum>
  <w:abstractNum w:abstractNumId="4">
    <w:nsid w:val="DED7263"/>
    <w:multiLevelType w:val="hybridMultilevel"/>
    <w:lvl w:ilvl="0">
      <w:lvlJc w:val="left"/>
      <w:lvlText w:val="%1)"/>
      <w:numFmt w:val="lowerLetter"/>
      <w:start w:val="8"/>
    </w:lvl>
  </w:abstractNum>
  <w:abstractNum w:abstractNumId="5">
    <w:nsid w:val="7FDCC233"/>
    <w:multiLevelType w:val="hybridMultilevel"/>
    <w:lvl w:ilvl="0">
      <w:lvlJc w:val="left"/>
      <w:lvlText w:val="%1)"/>
      <w:numFmt w:val="lowerLetter"/>
      <w:start w:val="15"/>
    </w:lvl>
  </w:abstractNum>
  <w:abstractNum w:abstractNumId="6">
    <w:nsid w:val="1BEFD79F"/>
    <w:multiLevelType w:val="hybridMultilevel"/>
    <w:lvl w:ilvl="0">
      <w:lvlJc w:val="left"/>
      <w:lvlText w:val="%1)"/>
      <w:numFmt w:val="lowerLetter"/>
      <w:start w:val="18"/>
    </w:lvl>
  </w:abstractNum>
  <w:abstractNum w:abstractNumId="7">
    <w:nsid w:val="41A7C4C9"/>
    <w:multiLevelType w:val="hybridMultilevel"/>
    <w:lvl w:ilvl="0">
      <w:lvlJc w:val="left"/>
      <w:lvlText w:val="%1"/>
      <w:numFmt w:val="lowerLetter"/>
      <w:start w:val="1"/>
    </w:lvl>
    <w:lvl w:ilvl="1">
      <w:lvlJc w:val="left"/>
      <w:lvlText w:val="%2)"/>
      <w:numFmt w:val="lowerLetter"/>
      <w:start w:val="1"/>
    </w:lvl>
  </w:abstractNum>
  <w:abstractNum w:abstractNumId="8">
    <w:nsid w:val="6B68079A"/>
    <w:multiLevelType w:val="hybridMultilevel"/>
    <w:lvl w:ilvl="0">
      <w:lvlJc w:val="left"/>
      <w:lvlText w:val="%1)"/>
      <w:numFmt w:val="lowerLetter"/>
      <w:start w:val="3"/>
    </w:lvl>
    <w:lvl w:ilvl="1">
      <w:lvlJc w:val="left"/>
      <w:lvlText w:val="%2"/>
      <w:numFmt w:val="lowerLetter"/>
      <w:start w:val="1"/>
    </w:lvl>
  </w:abstractNum>
  <w:abstractNum w:abstractNumId="9">
    <w:nsid w:val="4E6AFB66"/>
    <w:multiLevelType w:val="hybridMultilevel"/>
    <w:lvl w:ilvl="0">
      <w:lvlJc w:val="left"/>
      <w:lvlText w:val="%1)"/>
      <w:numFmt w:val="lowerLetter"/>
      <w:start w:val="5"/>
    </w:lvl>
  </w:abstractNum>
  <w:abstractNum w:abstractNumId="10">
    <w:nsid w:val="25E45D32"/>
    <w:multiLevelType w:val="hybridMultilevel"/>
    <w:lvl w:ilvl="0">
      <w:lvlJc w:val="left"/>
      <w:lvlText w:val="%1)"/>
      <w:numFmt w:val="lowerLetter"/>
      <w:start w:val="2"/>
    </w:lvl>
  </w:abstractNum>
  <w:abstractNum w:abstractNumId="11">
    <w:nsid w:val="519B500D"/>
    <w:multiLevelType w:val="hybridMultilevel"/>
    <w:lvl w:ilvl="0">
      <w:lvlJc w:val="left"/>
      <w:lvlText w:val="%1)"/>
      <w:numFmt w:val="lowerLetter"/>
      <w:start w:val="1"/>
    </w:lvl>
  </w:abstractNum>
  <w:abstractNum w:abstractNumId="12">
    <w:nsid w:val="431BD7B7"/>
    <w:multiLevelType w:val="hybridMultilevel"/>
    <w:lvl w:ilvl="0">
      <w:lvlJc w:val="left"/>
      <w:lvlText w:val="%1)"/>
      <w:numFmt w:val="lowerLetter"/>
      <w:start w:val="7"/>
    </w:lvl>
  </w:abstractNum>
  <w:abstractNum w:abstractNumId="13">
    <w:nsid w:val="3F2DBA31"/>
    <w:multiLevelType w:val="hybridMultilevel"/>
    <w:lvl w:ilvl="0">
      <w:lvlJc w:val="left"/>
      <w:lvlText w:val="%1)"/>
      <w:numFmt w:val="lowerLetter"/>
      <w:start w:val="11"/>
    </w:lvl>
  </w:abstractNum>
  <w:abstractNum w:abstractNumId="14">
    <w:nsid w:val="7C83E458"/>
    <w:multiLevelType w:val="hybridMultilevel"/>
    <w:lvl w:ilvl="0">
      <w:lvlJc w:val="left"/>
      <w:lvlText w:val="%1)"/>
      <w:numFmt w:val="lowerLetter"/>
      <w:start w:val="1"/>
    </w:lvl>
  </w:abstractNum>
  <w:abstractNum w:abstractNumId="15">
    <w:nsid w:val="257130A3"/>
    <w:multiLevelType w:val="hybridMultilevel"/>
    <w:lvl w:ilvl="0">
      <w:lvlJc w:val="left"/>
      <w:lvlText w:val="%1)"/>
      <w:numFmt w:val="lowerLetter"/>
      <w:start w:val="4"/>
    </w:lvl>
  </w:abstractNum>
  <w:abstractNum w:abstractNumId="16">
    <w:nsid w:val="62BBD95A"/>
    <w:multiLevelType w:val="hybridMultilevel"/>
    <w:lvl w:ilvl="0">
      <w:lvlJc w:val="left"/>
      <w:lvlText w:val="%1)"/>
      <w:numFmt w:val="lowerLetter"/>
      <w:start w:val="1"/>
    </w:lvl>
  </w:abstractNum>
  <w:abstractNum w:abstractNumId="17">
    <w:nsid w:val="436C6125"/>
    <w:multiLevelType w:val="hybridMultilevel"/>
    <w:lvl w:ilvl="0">
      <w:lvlJc w:val="left"/>
      <w:lvlText w:val="%1)"/>
      <w:numFmt w:val="lowerLetter"/>
      <w:start w:val="1"/>
    </w:lvl>
  </w:abstractNum>
  <w:abstractNum w:abstractNumId="18">
    <w:nsid w:val="628C895D"/>
    <w:multiLevelType w:val="hybridMultilevel"/>
    <w:lvl w:ilvl="0">
      <w:lvlJc w:val="left"/>
      <w:lvlText w:val="%1)"/>
      <w:numFmt w:val="lowerLetter"/>
      <w:start w:val="5"/>
    </w:lvl>
  </w:abstractNum>
  <w:abstractNum w:abstractNumId="19">
    <w:nsid w:val="333AB105"/>
    <w:multiLevelType w:val="hybridMultilevel"/>
    <w:lvl w:ilvl="0">
      <w:lvlJc w:val="left"/>
      <w:lvlText w:val="%1)"/>
      <w:numFmt w:val="lowerLetter"/>
      <w:start w:val="1"/>
    </w:lvl>
  </w:abstractNum>
  <w:abstractNum w:abstractNumId="20">
    <w:nsid w:val="721DA317"/>
    <w:multiLevelType w:val="hybridMultilevel"/>
    <w:lvl w:ilvl="0">
      <w:lvlJc w:val="left"/>
      <w:lvlText w:val="%1)"/>
      <w:numFmt w:val="lowerLetter"/>
      <w:start w:val="1"/>
    </w:lvl>
    <w:lvl w:ilvl="1">
      <w:lvlJc w:val="left"/>
      <w:lvlText w:val="%2)"/>
      <w:numFmt w:val="lowerLetter"/>
      <w:start w:val="2"/>
    </w:lvl>
  </w:abstractNum>
  <w:abstractNum w:abstractNumId="21">
    <w:nsid w:val="2443A858"/>
    <w:multiLevelType w:val="hybridMultilevel"/>
    <w:lvl w:ilvl="0">
      <w:lvlJc w:val="left"/>
      <w:lvlText w:val="-"/>
      <w:numFmt w:val="bullet"/>
      <w:start w:val="1"/>
    </w:lvl>
  </w:abstractNum>
  <w:abstractNum w:abstractNumId="22">
    <w:nsid w:val="2D1D5AE9"/>
    <w:multiLevelType w:val="hybridMultilevel"/>
    <w:lvl w:ilvl="0">
      <w:lvlJc w:val="left"/>
      <w:lvlText w:val="%1)"/>
      <w:numFmt w:val="lowerLetter"/>
      <w:start w:val="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2024-12-18T13:51:37Z</dcterms:created>
  <dcterms:modified xsi:type="dcterms:W3CDTF">2024-12-18T13:51:37Z</dcterms:modified>
</cp:coreProperties>
</file>