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38" w:rsidRDefault="00C86D38" w:rsidP="00C86D38">
      <w:pPr>
        <w:pStyle w:val="Zkladntext20"/>
        <w:spacing w:before="1180" w:after="240"/>
        <w:ind w:left="0" w:firstLine="960"/>
        <w:jc w:val="both"/>
      </w:pPr>
      <w:r>
        <w:rPr>
          <w:rStyle w:val="Zkladntext2"/>
          <w:b/>
          <w:bCs/>
        </w:rPr>
        <w:t>Příloha č. 1 k OZV o místním poplatku za užívání veřejného prostranství</w:t>
      </w:r>
    </w:p>
    <w:p w:rsidR="00C86D38" w:rsidRDefault="00C86D38" w:rsidP="00C86D38">
      <w:pPr>
        <w:pStyle w:val="Zkladntext20"/>
        <w:spacing w:after="760"/>
        <w:ind w:left="0" w:firstLine="960"/>
        <w:jc w:val="both"/>
      </w:pPr>
      <w:r>
        <w:rPr>
          <w:rStyle w:val="Zkladntext2"/>
        </w:rPr>
        <w:t>Veřejným prostranstvím pro účely této vyhlášky se rozumí:</w:t>
      </w:r>
    </w:p>
    <w:p w:rsidR="00C86D38" w:rsidRDefault="00C86D38" w:rsidP="00C86D38">
      <w:pPr>
        <w:pStyle w:val="Zkladntext20"/>
        <w:numPr>
          <w:ilvl w:val="0"/>
          <w:numId w:val="1"/>
        </w:numPr>
        <w:tabs>
          <w:tab w:val="left" w:pos="1675"/>
        </w:tabs>
        <w:jc w:val="both"/>
      </w:pPr>
      <w:r>
        <w:rPr>
          <w:rStyle w:val="Zkladntext2"/>
        </w:rPr>
        <w:t>náměstí Sv. Václava</w:t>
      </w:r>
    </w:p>
    <w:p w:rsidR="00C86D38" w:rsidRDefault="00C86D38" w:rsidP="00C86D38">
      <w:pPr>
        <w:pStyle w:val="Zkladntext20"/>
        <w:numPr>
          <w:ilvl w:val="0"/>
          <w:numId w:val="1"/>
        </w:numPr>
        <w:tabs>
          <w:tab w:val="left" w:pos="1675"/>
        </w:tabs>
      </w:pPr>
      <w:r>
        <w:rPr>
          <w:rStyle w:val="Zkladntext2"/>
        </w:rPr>
        <w:t>ulice Pražská</w:t>
      </w:r>
    </w:p>
    <w:p w:rsidR="00C86D38" w:rsidRDefault="00C86D38" w:rsidP="00C86D38">
      <w:pPr>
        <w:pStyle w:val="Zkladntext20"/>
        <w:numPr>
          <w:ilvl w:val="0"/>
          <w:numId w:val="1"/>
        </w:numPr>
        <w:tabs>
          <w:tab w:val="left" w:pos="1675"/>
        </w:tabs>
        <w:jc w:val="both"/>
      </w:pPr>
      <w:r>
        <w:rPr>
          <w:rStyle w:val="Zkladntext2"/>
        </w:rPr>
        <w:t>park v ulici Pražská</w:t>
      </w:r>
    </w:p>
    <w:p w:rsidR="00C86D38" w:rsidRDefault="00C86D38" w:rsidP="00C86D38">
      <w:pPr>
        <w:pStyle w:val="Zkladntext20"/>
        <w:numPr>
          <w:ilvl w:val="0"/>
          <w:numId w:val="1"/>
        </w:numPr>
        <w:tabs>
          <w:tab w:val="left" w:pos="1675"/>
        </w:tabs>
        <w:jc w:val="both"/>
      </w:pPr>
      <w:r>
        <w:rPr>
          <w:rStyle w:val="Zkladntext2"/>
        </w:rPr>
        <w:t>hřiště AFK Nehvizdy a prostor před ním</w:t>
      </w:r>
    </w:p>
    <w:p w:rsidR="00C86D38" w:rsidRDefault="00C86D38" w:rsidP="00C86D38">
      <w:pPr>
        <w:pStyle w:val="Zkladntext20"/>
        <w:numPr>
          <w:ilvl w:val="0"/>
          <w:numId w:val="1"/>
        </w:numPr>
        <w:tabs>
          <w:tab w:val="left" w:pos="1675"/>
        </w:tabs>
        <w:jc w:val="both"/>
      </w:pPr>
      <w:r>
        <w:rPr>
          <w:rStyle w:val="Zkladntext2"/>
        </w:rPr>
        <w:t>parkoviště před ÚM Nehvizdy</w:t>
      </w:r>
    </w:p>
    <w:p w:rsidR="00C86D38" w:rsidRDefault="00C86D38" w:rsidP="00C86D38">
      <w:pPr>
        <w:pStyle w:val="Zkladntext20"/>
        <w:numPr>
          <w:ilvl w:val="0"/>
          <w:numId w:val="1"/>
        </w:numPr>
        <w:tabs>
          <w:tab w:val="left" w:pos="1675"/>
        </w:tabs>
        <w:jc w:val="both"/>
        <w:rPr>
          <w:rStyle w:val="Zkladntext2"/>
        </w:rPr>
      </w:pPr>
      <w:r>
        <w:rPr>
          <w:rStyle w:val="Zkladntext2"/>
        </w:rPr>
        <w:t>všechny místní komunikace a chodníky</w:t>
      </w:r>
    </w:p>
    <w:p w:rsidR="00C86D38" w:rsidRDefault="00C86D38" w:rsidP="00C86D38">
      <w:pPr>
        <w:pStyle w:val="Zkladntext20"/>
        <w:numPr>
          <w:ilvl w:val="0"/>
          <w:numId w:val="1"/>
        </w:numPr>
        <w:tabs>
          <w:tab w:val="left" w:pos="1675"/>
        </w:tabs>
        <w:jc w:val="both"/>
      </w:pPr>
      <w:r>
        <w:t xml:space="preserve">pěší zóna – cesta do </w:t>
      </w:r>
      <w:proofErr w:type="spellStart"/>
      <w:r>
        <w:t>Nehvizdek</w:t>
      </w:r>
      <w:proofErr w:type="spellEnd"/>
    </w:p>
    <w:p w:rsidR="00C86D38" w:rsidRPr="00426095" w:rsidRDefault="00C86D38" w:rsidP="00C86D38">
      <w:pPr>
        <w:pStyle w:val="Zkladntext20"/>
        <w:tabs>
          <w:tab w:val="left" w:pos="1320"/>
          <w:tab w:val="left" w:pos="1675"/>
          <w:tab w:val="left" w:pos="2410"/>
        </w:tabs>
        <w:rPr>
          <w:sz w:val="2"/>
          <w:szCs w:val="2"/>
        </w:rPr>
      </w:pPr>
    </w:p>
    <w:p w:rsidR="00C86D38" w:rsidRPr="00426095" w:rsidRDefault="00C86D38" w:rsidP="00C86D38">
      <w:pPr>
        <w:pStyle w:val="Zkladntext20"/>
        <w:tabs>
          <w:tab w:val="left" w:pos="1320"/>
          <w:tab w:val="left" w:pos="1675"/>
          <w:tab w:val="left" w:pos="2410"/>
        </w:tabs>
        <w:rPr>
          <w:sz w:val="2"/>
          <w:szCs w:val="2"/>
        </w:rPr>
      </w:pPr>
    </w:p>
    <w:p w:rsidR="008B2A55" w:rsidRDefault="008B2A55">
      <w:bookmarkStart w:id="0" w:name="_GoBack"/>
      <w:bookmarkEnd w:id="0"/>
    </w:p>
    <w:sectPr w:rsidR="008B2A55">
      <w:footerReference w:type="default" r:id="rId6"/>
      <w:footnotePr>
        <w:numStart w:val="3"/>
      </w:footnotePr>
      <w:pgSz w:w="11906" w:h="16838"/>
      <w:pgMar w:top="230" w:right="331" w:bottom="25" w:left="440" w:header="0" w:footer="3" w:gutter="0"/>
      <w:pgNumType w:start="4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340" w:rsidRDefault="00C86D38">
    <w:pPr>
      <w:spacing w:line="1" w:lineRule="exac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8575D"/>
    <w:multiLevelType w:val="multilevel"/>
    <w:tmpl w:val="B0A08E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Start w:val="3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38"/>
    <w:rsid w:val="008B2A55"/>
    <w:rsid w:val="00C8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D38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C86D38"/>
    <w:rPr>
      <w:rFonts w:ascii="Book Antiqua" w:eastAsia="Book Antiqua" w:hAnsi="Book Antiqua" w:cs="Book Antiqua"/>
    </w:rPr>
  </w:style>
  <w:style w:type="paragraph" w:customStyle="1" w:styleId="Zkladntext20">
    <w:name w:val="Základní text (2)"/>
    <w:basedOn w:val="Normln"/>
    <w:link w:val="Zkladntext2"/>
    <w:rsid w:val="00C86D38"/>
    <w:pPr>
      <w:ind w:left="1320"/>
    </w:pPr>
    <w:rPr>
      <w:rFonts w:ascii="Book Antiqua" w:eastAsia="Book Antiqua" w:hAnsi="Book Antiqua" w:cs="Book Antiqua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6D38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sid w:val="00C86D38"/>
    <w:rPr>
      <w:rFonts w:ascii="Book Antiqua" w:eastAsia="Book Antiqua" w:hAnsi="Book Antiqua" w:cs="Book Antiqua"/>
    </w:rPr>
  </w:style>
  <w:style w:type="paragraph" w:customStyle="1" w:styleId="Zkladntext20">
    <w:name w:val="Základní text (2)"/>
    <w:basedOn w:val="Normln"/>
    <w:link w:val="Zkladntext2"/>
    <w:rsid w:val="00C86D38"/>
    <w:pPr>
      <w:ind w:left="1320"/>
    </w:pPr>
    <w:rPr>
      <w:rFonts w:ascii="Book Antiqua" w:eastAsia="Book Antiqua" w:hAnsi="Book Antiqua" w:cs="Book Antiqua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Troblova</dc:creator>
  <cp:lastModifiedBy>Lenka Troblova</cp:lastModifiedBy>
  <cp:revision>1</cp:revision>
  <dcterms:created xsi:type="dcterms:W3CDTF">2024-07-29T09:19:00Z</dcterms:created>
  <dcterms:modified xsi:type="dcterms:W3CDTF">2024-07-29T09:19:00Z</dcterms:modified>
</cp:coreProperties>
</file>