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ahoma" w:cs="Tahoma" w:eastAsia="Tahoma" w:hAnsi="Tahoma"/>
        </w:rPr>
      </w:pPr>
      <w:bookmarkStart w:colFirst="0" w:colLast="0" w:name="_1z2kw6e4n8yn" w:id="0"/>
      <w:bookmarkEnd w:id="0"/>
      <w:r w:rsidDel="00000000" w:rsidR="00000000" w:rsidRPr="00000000">
        <w:rPr>
          <w:rFonts w:ascii="Tahoma" w:cs="Tahoma" w:eastAsia="Tahoma" w:hAnsi="Tahoma"/>
          <w:sz w:val="40"/>
          <w:szCs w:val="40"/>
          <w:rtl w:val="0"/>
        </w:rPr>
        <w:t xml:space="preserve">OBEC KRNSKO</w:t>
      </w: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rtl w:val="0"/>
        </w:rPr>
        <w:t xml:space="preserve">ZASTUPITELSTVO OBCE KRNSKO</w:t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pf18z62lj8xp" w:id="1"/>
      <w:bookmarkEnd w:id="1"/>
      <w:r w:rsidDel="00000000" w:rsidR="00000000" w:rsidRPr="00000000">
        <w:rPr>
          <w:rFonts w:ascii="Tahoma" w:cs="Tahoma" w:eastAsia="Tahoma" w:hAnsi="Tahoma"/>
          <w:sz w:val="40"/>
          <w:szCs w:val="40"/>
          <w:rtl w:val="0"/>
        </w:rPr>
        <w:t xml:space="preserve">Obecně závazná vyhláška obce Krnsko</w:t>
      </w: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rtl w:val="0"/>
        </w:rPr>
        <w:t xml:space="preserve">o místním poplatku za užívání veřejného prostranství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Krnsko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Článek 1.</w:t>
        <w:br w:type="textWrapping"/>
        <w:t xml:space="preserve">Úvodní ustanovení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Krnsko touto vyhláškou zavádí místní poplatek za užívání veřejného prostranství (dále jen „poplatek“).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2.</w:t>
        <w:br w:type="textWrapping"/>
        <w:t xml:space="preserve">Předmět poplatku a poplatník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za užívání veřejného prostranství se vybírá za zvláštní užívání veřejného prostranství, kterým se rozumí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dočasných staveb sloužících pro poskytování služeb,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sloužících pro poskytování služeb,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dočasných staveb sloužících pro poskytování prodeje,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sloužících pro poskytování prodeje,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reklamních zařízení,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provádění výkopových prací,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stavebních zařízení,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skládek,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umístění zařízení lunaparků a jiných obdobných atrakcí,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veřejného prostranství pro kulturní akce,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veřejného prostranství pro sportovní akce,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veřejného prostranství pro reklamní akce,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užívání veřejného prostranství pro potřeby tvorby filmových a televizních děl.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za užívání veřejného prostranství platí fyzické i právnické osoby, které užívají veřejné prostranství způsobem uvedeným v odstavci 1 (dále jen „poplatník“)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3.</w:t>
        <w:br w:type="textWrapping"/>
        <w:t xml:space="preserve">Veřejná prostranství</w:t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platí za užívání veřejných prostranství, která jsou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uvedena dle jednotlivých místních částí,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graficky na mapě v přílo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hách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č.1 až č.4. Tyto přílohy tvoří nedílnou součást této vyhlášky.</w:t>
        <w:br w:type="textWrapping"/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4.</w:t>
        <w:br w:type="textWrapping"/>
        <w:t xml:space="preserve">Ohlašovací povinnost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5.</w:t>
        <w:br w:type="textWrapping"/>
        <w:t xml:space="preserve">Sazba poplatku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za každý i započatý m² a každý i započatý den: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reklamních zařízení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 Kč,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skládek 10 Kč.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stanovuje poplatek paušální částkou: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dočasných staveb sloužících pro poskytování služeb 500 Kč za týden,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sloužících pro poskytování služeb 500 Kč za týden,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dočasných staveb sloužících pro poskytování prodeje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sloužících pro poskytování prodeje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reklamních zařízení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 Kč za měsíc,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provádění výkopových prací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první týden,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další týden za 1000 Kč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stavebních zařízení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první týden,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každý další týden za 1000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skládek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umístění zařízení lunaparků a jiných obdobných atrakcí 5000 Kč za týden,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užívání veřejného prostranství pro kulturní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užívání veřejného prostranství pro sportovní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užívání veřejného prostranství pro reklamní akce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 Kč za týden,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užívání veřejného prostranství pro potřeby tvorby filmových a televizních děl 5000 Kč za měsíc.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Volbu placení poplatku paušální částkou včetně výběru varianty paušální částky sdělí poplatník správci poplatku v rámci ohlášení dle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Článek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4 odst. 2.</w:t>
        <w:br w:type="textWrapping"/>
      </w:r>
    </w:p>
    <w:p w:rsidR="00000000" w:rsidDel="00000000" w:rsidP="00000000" w:rsidRDefault="00000000" w:rsidRPr="00000000" w14:paraId="00000031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6.</w:t>
        <w:br w:type="textWrapping"/>
        <w:t xml:space="preserve">Splatnost poplatku</w:t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nejpozději do 5 dnů ode dne ukončení užívání veřejného prostranství.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stanovený paušální částkou je splatný do 5 dnů od počátku každého poplatkového období.</w:t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7.</w:t>
        <w:br w:type="textWrapping"/>
        <w:t xml:space="preserve"> Osvobození</w:t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neplatí: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 vyhrazení trvalého parkovacího místa pro osobu, která je držitelem průkazu ZTP nebo ZTP/P,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 akcí pořádaných na veřejném prostranství, jejichž celý výtěžek je odveden na charitativní a veřejně prospěšné účely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 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8.</w:t>
        <w:br w:type="textWrapping"/>
        <w:t xml:space="preserve"> Přechodné a zrušovací ustanovení</w:t>
        <w:br w:type="textWrapping"/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 nabytím účinnosti této vyhlášky se posuzují podle dosavadních právních předpisů.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2/2020, o místním poplatku za užívání veřejného prostranství, ze dne 4. května 2020.</w:t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Článek</w:t>
      </w:r>
      <w:r w:rsidDel="00000000" w:rsidR="00000000" w:rsidRPr="00000000">
        <w:rPr>
          <w:rtl w:val="0"/>
        </w:rPr>
        <w:t xml:space="preserve"> 9.</w:t>
        <w:br w:type="textWrapping"/>
        <w:t xml:space="preserve">Účinnost</w:t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2024.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František Honc v. r.</w:t>
              <w:br w:type="textWrapping"/>
              <w:t xml:space="preserve"> starosta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Libor Šotek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1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1 zákona o místních poplatcích</w:t>
      </w:r>
    </w:p>
  </w:footnote>
  <w:footnote w:id="2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2 zákona o místních poplatcích</w:t>
      </w:r>
    </w:p>
  </w:footnote>
  <w:footnote w:id="3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 místních poplatcích; v ohlášení poplatník uvede zejména své identifikační údaje a skutečnosti rozhodné pro stanovení poplatku</w:t>
      </w:r>
    </w:p>
  </w:footnote>
  <w:footnote w:id="4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5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4 odst. 1 zákona o místních poplatcích</w:t>
      </w:r>
    </w:p>
  </w:footnote>
  <w:footnote w:id="6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15.0" w:type="dxa"/>
        <w:bottom w:w="5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