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C53" w:rsidRDefault="00306C53">
      <w:pPr>
        <w:pStyle w:val="Normln0"/>
        <w:jc w:val="center"/>
        <w:rPr>
          <w:rFonts w:ascii="Times New Roman" w:hAnsi="Times New Roman"/>
          <w:b/>
          <w:bCs/>
          <w:sz w:val="36"/>
          <w:szCs w:val="32"/>
        </w:rPr>
      </w:pPr>
      <w:bookmarkStart w:id="0" w:name="_GoBack"/>
      <w:bookmarkEnd w:id="0"/>
      <w:proofErr w:type="gramStart"/>
      <w:r>
        <w:rPr>
          <w:rFonts w:ascii="Times New Roman" w:hAnsi="Times New Roman"/>
          <w:b/>
          <w:bCs/>
          <w:sz w:val="36"/>
          <w:szCs w:val="32"/>
        </w:rPr>
        <w:t>S T A T U T Á R N Í  M Ě S T O  T E P L I C E</w:t>
      </w:r>
      <w:proofErr w:type="gramEnd"/>
      <w:r>
        <w:rPr>
          <w:rFonts w:ascii="Times New Roman" w:hAnsi="Times New Roman"/>
          <w:b/>
          <w:bCs/>
          <w:sz w:val="36"/>
          <w:szCs w:val="32"/>
        </w:rPr>
        <w:t xml:space="preserve">   </w:t>
      </w:r>
    </w:p>
    <w:p w:rsidR="00306C53" w:rsidRDefault="00306C53">
      <w:pPr>
        <w:pStyle w:val="Normln0"/>
        <w:jc w:val="center"/>
        <w:rPr>
          <w:rFonts w:ascii="Times New Roman" w:hAnsi="Times New Roman"/>
          <w:b/>
          <w:bCs/>
          <w:sz w:val="32"/>
          <w:szCs w:val="32"/>
        </w:rPr>
      </w:pPr>
    </w:p>
    <w:p w:rsidR="00306C53" w:rsidRDefault="00306C53">
      <w:pPr>
        <w:pStyle w:val="Normln0"/>
        <w:jc w:val="center"/>
        <w:rPr>
          <w:rFonts w:ascii="Times New Roman" w:hAnsi="Times New Roman"/>
          <w:b/>
          <w:bCs/>
          <w:sz w:val="28"/>
          <w:szCs w:val="28"/>
        </w:rPr>
      </w:pPr>
      <w:r>
        <w:rPr>
          <w:rFonts w:ascii="Times New Roman" w:hAnsi="Times New Roman"/>
          <w:b/>
          <w:bCs/>
          <w:sz w:val="28"/>
          <w:szCs w:val="28"/>
        </w:rPr>
        <w:t xml:space="preserve">Nařízení Statutárního města Teplice č. </w:t>
      </w:r>
      <w:r w:rsidR="00A52355">
        <w:rPr>
          <w:rFonts w:ascii="Times New Roman" w:hAnsi="Times New Roman"/>
          <w:b/>
          <w:bCs/>
          <w:sz w:val="28"/>
          <w:szCs w:val="28"/>
        </w:rPr>
        <w:t>3/</w:t>
      </w:r>
      <w:r>
        <w:rPr>
          <w:rFonts w:ascii="Times New Roman" w:hAnsi="Times New Roman"/>
          <w:b/>
          <w:bCs/>
          <w:sz w:val="28"/>
          <w:szCs w:val="28"/>
        </w:rPr>
        <w:t>2004</w:t>
      </w:r>
    </w:p>
    <w:p w:rsidR="00306C53" w:rsidRDefault="00306C53">
      <w:pPr>
        <w:pStyle w:val="Normln0"/>
        <w:jc w:val="center"/>
        <w:rPr>
          <w:rFonts w:ascii="Times New Roman" w:hAnsi="Times New Roman"/>
          <w:b/>
          <w:bCs/>
          <w:sz w:val="28"/>
          <w:szCs w:val="28"/>
        </w:rPr>
      </w:pPr>
    </w:p>
    <w:p w:rsidR="00306C53" w:rsidRDefault="00306C53">
      <w:pPr>
        <w:pStyle w:val="Zkladntext2"/>
        <w:jc w:val="center"/>
        <w:rPr>
          <w:b/>
          <w:bCs/>
          <w:u w:val="single"/>
        </w:rPr>
      </w:pPr>
      <w:r>
        <w:rPr>
          <w:b/>
          <w:bCs/>
          <w:u w:val="single"/>
        </w:rPr>
        <w:t xml:space="preserve">o vymezení místních komunikací nebo jejich určených úseků, </w:t>
      </w:r>
    </w:p>
    <w:p w:rsidR="00306C53" w:rsidRDefault="00306C53">
      <w:pPr>
        <w:pStyle w:val="Zkladntext2"/>
        <w:jc w:val="center"/>
        <w:rPr>
          <w:b/>
          <w:bCs/>
          <w:u w:val="single"/>
        </w:rPr>
      </w:pPr>
      <w:r>
        <w:rPr>
          <w:b/>
          <w:bCs/>
          <w:u w:val="single"/>
        </w:rPr>
        <w:t>které lze užít k placenému stání silničních motorových vozidel</w:t>
      </w:r>
    </w:p>
    <w:p w:rsidR="00306C53" w:rsidRDefault="00306C53">
      <w:pPr>
        <w:pStyle w:val="Normln0"/>
        <w:jc w:val="center"/>
        <w:rPr>
          <w:rFonts w:ascii="Times New Roman" w:hAnsi="Times New Roman"/>
          <w:b/>
          <w:bCs/>
          <w:sz w:val="28"/>
          <w:szCs w:val="28"/>
        </w:rPr>
      </w:pPr>
    </w:p>
    <w:p w:rsidR="00306C53" w:rsidRDefault="00306C53">
      <w:pPr>
        <w:pStyle w:val="Zkladntext2"/>
        <w:rPr>
          <w:b/>
          <w:bCs/>
        </w:rPr>
      </w:pPr>
      <w:r>
        <w:t xml:space="preserve">Rada města Teplice se na svém zasedání dne </w:t>
      </w:r>
      <w:r w:rsidR="00A52355">
        <w:t xml:space="preserve">4. 6. 2004 (usnesení RM č. 403/04) </w:t>
      </w:r>
      <w:r>
        <w:t xml:space="preserve">usnesla vydat na základě § 23 odst. 1 písm. a) zákona č.13/1997 Sb., o pozemních komunikacích, ve znění pozdějších předpisů, a v souladu s § 11 a § 102 odst. 2 písm. d) zákona č.128/2000 Sb., o obcích ( obecní zřízení ), ve znění pozdějších předpisů, toto nařízení :  </w:t>
      </w:r>
    </w:p>
    <w:p w:rsidR="00306C53" w:rsidRDefault="00306C53">
      <w:pPr>
        <w:pStyle w:val="Zkladntext2"/>
        <w:jc w:val="center"/>
        <w:rPr>
          <w:b/>
        </w:rPr>
      </w:pPr>
    </w:p>
    <w:p w:rsidR="00306C53" w:rsidRDefault="00306C53">
      <w:pPr>
        <w:pStyle w:val="Zkladntext2"/>
        <w:jc w:val="center"/>
        <w:rPr>
          <w:b/>
        </w:rPr>
      </w:pPr>
      <w:r>
        <w:rPr>
          <w:b/>
        </w:rPr>
        <w:t>Čl. 1</w:t>
      </w:r>
    </w:p>
    <w:p w:rsidR="00306C53" w:rsidRDefault="00306C53">
      <w:pPr>
        <w:pStyle w:val="Zkladntext2"/>
        <w:jc w:val="center"/>
        <w:rPr>
          <w:bCs/>
        </w:rPr>
      </w:pPr>
      <w:r>
        <w:rPr>
          <w:bCs/>
        </w:rPr>
        <w:t>Předmět úpravy</w:t>
      </w:r>
    </w:p>
    <w:p w:rsidR="00306C53" w:rsidRDefault="00306C53">
      <w:pPr>
        <w:pStyle w:val="Zkladntext2"/>
        <w:jc w:val="center"/>
        <w:rPr>
          <w:bCs/>
        </w:rPr>
      </w:pPr>
    </w:p>
    <w:p w:rsidR="00306C53" w:rsidRDefault="00306C53">
      <w:pPr>
        <w:pStyle w:val="Zkladntext2"/>
        <w:rPr>
          <w:bCs/>
        </w:rPr>
      </w:pPr>
      <w:r>
        <w:rPr>
          <w:bCs/>
        </w:rPr>
        <w:t>Tímto nařízením se pro účely organizování dopravy na území města vymezují oblasti obce, ve kterých lze místní komunikace nebo jejich určené úseky v souladu s ustanovením § 23 odst.1 písm. a) zákona č.13/1997 Sb., o pozemních komunikacích, ve znění pozdějších předpisů, užít za cenu sjednanou v souladu s cenovými předpisy</w:t>
      </w:r>
      <w:r>
        <w:rPr>
          <w:bCs/>
          <w:szCs w:val="24"/>
        </w:rPr>
        <w:t xml:space="preserve"> (Zákon č. 526/1990 Sb., o cenách, ve znění pozdějších předpisů)</w:t>
      </w:r>
      <w:r>
        <w:rPr>
          <w:bCs/>
        </w:rPr>
        <w:t xml:space="preserve"> ke stání silničního motorového vozidla v obci na dobu časově omezenou, nejvýše však na dobu 24 hodin.</w:t>
      </w:r>
    </w:p>
    <w:p w:rsidR="00306C53" w:rsidRDefault="00306C53">
      <w:pPr>
        <w:pStyle w:val="Zkladntext2"/>
        <w:jc w:val="center"/>
        <w:rPr>
          <w:b/>
        </w:rPr>
      </w:pPr>
    </w:p>
    <w:p w:rsidR="00306C53" w:rsidRDefault="00306C53">
      <w:pPr>
        <w:pStyle w:val="Zkladntext2"/>
        <w:jc w:val="center"/>
        <w:rPr>
          <w:b/>
        </w:rPr>
      </w:pPr>
      <w:r>
        <w:rPr>
          <w:b/>
        </w:rPr>
        <w:t>Čl.  2</w:t>
      </w:r>
    </w:p>
    <w:p w:rsidR="00306C53" w:rsidRDefault="00306C53">
      <w:pPr>
        <w:pStyle w:val="Zkladntext2"/>
        <w:jc w:val="center"/>
        <w:rPr>
          <w:bCs/>
        </w:rPr>
      </w:pPr>
      <w:r>
        <w:rPr>
          <w:bCs/>
        </w:rPr>
        <w:t>Všeobecné podmínky</w:t>
      </w:r>
    </w:p>
    <w:p w:rsidR="00306C53" w:rsidRDefault="00306C53">
      <w:pPr>
        <w:pStyle w:val="Zkladntext2"/>
        <w:jc w:val="center"/>
        <w:rPr>
          <w:bCs/>
        </w:rPr>
      </w:pPr>
    </w:p>
    <w:p w:rsidR="00306C53" w:rsidRDefault="00306C53" w:rsidP="00306C53">
      <w:pPr>
        <w:pStyle w:val="Zkladntext2"/>
        <w:numPr>
          <w:ilvl w:val="0"/>
          <w:numId w:val="1"/>
        </w:numPr>
        <w:rPr>
          <w:bCs/>
        </w:rPr>
      </w:pPr>
      <w:r>
        <w:rPr>
          <w:bCs/>
        </w:rPr>
        <w:t>Místní komunikace nebo jejich úseky uvedené v příloze č. 1 tohoto nařízení lze užít ke stání silničního motorového vozidla pouze za cenu sjednanou v souladu s cenovými předpisy, a to nejvýše na dobu 24 hodin.</w:t>
      </w:r>
    </w:p>
    <w:p w:rsidR="00306C53" w:rsidRDefault="00306C53">
      <w:pPr>
        <w:pStyle w:val="Zkladntext2"/>
        <w:rPr>
          <w:bCs/>
        </w:rPr>
      </w:pPr>
    </w:p>
    <w:p w:rsidR="00306C53" w:rsidRDefault="00306C53" w:rsidP="00306C53">
      <w:pPr>
        <w:pStyle w:val="Zkladntext2"/>
        <w:numPr>
          <w:ilvl w:val="0"/>
          <w:numId w:val="1"/>
        </w:numPr>
        <w:rPr>
          <w:bCs/>
        </w:rPr>
      </w:pPr>
      <w:r>
        <w:rPr>
          <w:bCs/>
        </w:rPr>
        <w:t>Takto vymezené m</w:t>
      </w:r>
      <w:r>
        <w:t xml:space="preserve">ístní komunikace nebo jejich určené úseky jsou označeny příslušným dopravním značením a v docházkové vzdálenosti je osazen parkovací automat. Na každém parkovacím automatu je uveden název, sídlo a kontakt na provozovatele míst placeného stání. </w:t>
      </w:r>
    </w:p>
    <w:p w:rsidR="00306C53" w:rsidRDefault="00306C53">
      <w:pPr>
        <w:pStyle w:val="Zkladntext2"/>
        <w:ind w:left="360"/>
        <w:rPr>
          <w:bCs/>
        </w:rPr>
      </w:pPr>
    </w:p>
    <w:p w:rsidR="00306C53" w:rsidRDefault="00306C53" w:rsidP="00306C53">
      <w:pPr>
        <w:pStyle w:val="Zkladntext2"/>
        <w:numPr>
          <w:ilvl w:val="0"/>
          <w:numId w:val="1"/>
        </w:numPr>
        <w:rPr>
          <w:bCs/>
        </w:rPr>
      </w:pPr>
      <w:r>
        <w:rPr>
          <w:bCs/>
        </w:rPr>
        <w:t>Zaplacení ceny sjednané podle cenových předpisů se prokazuje způsobem vyplývajícím z místní úpravy silničního provozu, tj. dokladem o zaplacení ceny v parkovacím automatu, residenční nebo abonentní parkovací kartou vydanou pro tento účel provozovatelem za podmínek jím určených a městem schválených.</w:t>
      </w:r>
    </w:p>
    <w:p w:rsidR="00306C53" w:rsidRDefault="00306C53">
      <w:pPr>
        <w:pStyle w:val="Zkladntext2"/>
        <w:rPr>
          <w:bCs/>
        </w:rPr>
      </w:pPr>
    </w:p>
    <w:p w:rsidR="00306C53" w:rsidRDefault="00306C53" w:rsidP="00306C53">
      <w:pPr>
        <w:pStyle w:val="Zkladntext2"/>
        <w:numPr>
          <w:ilvl w:val="0"/>
          <w:numId w:val="1"/>
        </w:numPr>
        <w:rPr>
          <w:bCs/>
        </w:rPr>
      </w:pPr>
      <w:r>
        <w:rPr>
          <w:bCs/>
        </w:rPr>
        <w:t>Doklad o zaplacení ceny v parkovacím automatu, rezidenční nebo abonentní  karta musí být po celou dobu stání silničního motorového vozidla umístěna na viditelném místě za předním sklem vozidla tak, aby údaje byly čitelné z vně vozidla.</w:t>
      </w:r>
    </w:p>
    <w:p w:rsidR="00306C53" w:rsidRDefault="00306C53">
      <w:pPr>
        <w:pStyle w:val="Zkladntext2"/>
        <w:rPr>
          <w:bCs/>
        </w:rPr>
      </w:pPr>
    </w:p>
    <w:p w:rsidR="00306C53" w:rsidRDefault="00306C53" w:rsidP="00306C53">
      <w:pPr>
        <w:pStyle w:val="Zkladntext2"/>
        <w:numPr>
          <w:ilvl w:val="0"/>
          <w:numId w:val="1"/>
        </w:numPr>
        <w:rPr>
          <w:bCs/>
        </w:rPr>
      </w:pPr>
      <w:r>
        <w:rPr>
          <w:bCs/>
        </w:rPr>
        <w:t xml:space="preserve">Mimo provozní dobu je stání na </w:t>
      </w:r>
      <w:r>
        <w:t>místní komunikaci nebo určeném úseku</w:t>
      </w:r>
      <w:r>
        <w:rPr>
          <w:b/>
          <w:bCs/>
        </w:rPr>
        <w:t xml:space="preserve"> </w:t>
      </w:r>
      <w:r>
        <w:rPr>
          <w:bCs/>
        </w:rPr>
        <w:t>bezplatné.</w:t>
      </w:r>
    </w:p>
    <w:p w:rsidR="00306C53" w:rsidRDefault="00306C53">
      <w:pPr>
        <w:pStyle w:val="Zkladntext2"/>
        <w:rPr>
          <w:bCs/>
        </w:rPr>
      </w:pPr>
    </w:p>
    <w:p w:rsidR="00306C53" w:rsidRDefault="00306C53" w:rsidP="00306C53">
      <w:pPr>
        <w:pStyle w:val="Zkladntext2"/>
        <w:numPr>
          <w:ilvl w:val="0"/>
          <w:numId w:val="1"/>
        </w:numPr>
        <w:rPr>
          <w:bCs/>
        </w:rPr>
      </w:pPr>
      <w:r>
        <w:rPr>
          <w:bCs/>
        </w:rPr>
        <w:t>Ostatní podmínky stání silničních motorových vozidel  na místních komunikacích nebo jejich úsecích uvedených v příloze č. 1 tohoto nařízení se řídí místní úpravou silničního provozu provedenou v souladu s pravidly silničního provozu a ostatními platnými právními předpisy.</w:t>
      </w:r>
    </w:p>
    <w:p w:rsidR="00306C53" w:rsidRDefault="00306C53">
      <w:pPr>
        <w:pStyle w:val="Zkladntext2"/>
        <w:rPr>
          <w:bCs/>
        </w:rPr>
      </w:pPr>
    </w:p>
    <w:p w:rsidR="00306C53" w:rsidRDefault="00306C53" w:rsidP="00306C53">
      <w:pPr>
        <w:pStyle w:val="Zkladntext2"/>
        <w:numPr>
          <w:ilvl w:val="0"/>
          <w:numId w:val="1"/>
        </w:numPr>
        <w:rPr>
          <w:bCs/>
        </w:rPr>
      </w:pPr>
      <w:r>
        <w:rPr>
          <w:bCs/>
        </w:rPr>
        <w:t xml:space="preserve">Cenové podmínky placeného stání motorových vozidel ve kterém lze místní komunikace nebo jejich určené úseky  užít za cenu sjednanou v souladu s cenovými předpisy na dobu časově omezenou, nejvýše však na dobu 24 hodin schvaluje usnesením Rada města Teplice. </w:t>
      </w:r>
    </w:p>
    <w:p w:rsidR="00306C53" w:rsidRDefault="00306C53">
      <w:pPr>
        <w:pStyle w:val="Zkladntext2"/>
        <w:rPr>
          <w:bCs/>
        </w:rPr>
      </w:pPr>
    </w:p>
    <w:p w:rsidR="00306C53" w:rsidRDefault="00306C53" w:rsidP="00306C53">
      <w:pPr>
        <w:pStyle w:val="Zkladntext2"/>
        <w:numPr>
          <w:ilvl w:val="0"/>
          <w:numId w:val="1"/>
        </w:numPr>
        <w:rPr>
          <w:bCs/>
        </w:rPr>
      </w:pPr>
      <w:r>
        <w:rPr>
          <w:bCs/>
        </w:rPr>
        <w:t>Každé osobě s bydlištěm nebo sídlem ve vymezené oblasti dle přílohy č.1 je umožněno zakoupení residenční nebo abonentní karty vydané ke stání silničního motorového vozidla provozovatelem za podmínek jím určených a městem schválených.</w:t>
      </w:r>
    </w:p>
    <w:p w:rsidR="00306C53" w:rsidRDefault="00306C53">
      <w:pPr>
        <w:pStyle w:val="Zkladntext2"/>
        <w:rPr>
          <w:bCs/>
        </w:rPr>
      </w:pPr>
    </w:p>
    <w:p w:rsidR="00306C53" w:rsidRDefault="00306C53" w:rsidP="00306C53">
      <w:pPr>
        <w:pStyle w:val="Zkladntext2"/>
        <w:numPr>
          <w:ilvl w:val="0"/>
          <w:numId w:val="1"/>
        </w:numPr>
        <w:rPr>
          <w:bCs/>
        </w:rPr>
      </w:pPr>
      <w:r>
        <w:rPr>
          <w:bCs/>
        </w:rPr>
        <w:t>Vozidla přepravující osobu těžce zdravotně postiženou jsou od povinnosti zaplatit cenu za stání motorového vozidla osvobozena za předpokladu, že budou parkovat na místech, která jsou jim pro tyto účely vyhrazena. Vozidla budou řádně označena příslušným znakem.</w:t>
      </w:r>
    </w:p>
    <w:p w:rsidR="00306C53" w:rsidRDefault="00306C53">
      <w:pPr>
        <w:pStyle w:val="Zkladntext2"/>
        <w:jc w:val="left"/>
        <w:rPr>
          <w:b/>
        </w:rPr>
      </w:pPr>
    </w:p>
    <w:p w:rsidR="00306C53" w:rsidRDefault="00306C53">
      <w:pPr>
        <w:pStyle w:val="Zkladntext2"/>
        <w:jc w:val="left"/>
        <w:rPr>
          <w:b/>
        </w:rPr>
      </w:pPr>
    </w:p>
    <w:p w:rsidR="00306C53" w:rsidRDefault="00306C53">
      <w:pPr>
        <w:pStyle w:val="Zkladntext2"/>
        <w:jc w:val="center"/>
        <w:rPr>
          <w:b/>
        </w:rPr>
      </w:pPr>
      <w:r>
        <w:rPr>
          <w:b/>
        </w:rPr>
        <w:t>Čl. 3</w:t>
      </w:r>
    </w:p>
    <w:p w:rsidR="00306C53" w:rsidRDefault="00306C53">
      <w:pPr>
        <w:pStyle w:val="Zkladntext2"/>
        <w:jc w:val="center"/>
        <w:rPr>
          <w:bCs/>
        </w:rPr>
      </w:pPr>
      <w:r>
        <w:rPr>
          <w:bCs/>
        </w:rPr>
        <w:t>Účinnost</w:t>
      </w:r>
    </w:p>
    <w:p w:rsidR="00306C53" w:rsidRDefault="00306C53">
      <w:pPr>
        <w:pStyle w:val="Zkladntext2"/>
        <w:jc w:val="left"/>
        <w:rPr>
          <w:b/>
        </w:rPr>
      </w:pPr>
    </w:p>
    <w:p w:rsidR="00306C53" w:rsidRDefault="00306C53">
      <w:pPr>
        <w:pStyle w:val="Normln0"/>
        <w:shd w:val="clear" w:color="000000" w:fill="FFFFFF"/>
        <w:jc w:val="center"/>
        <w:rPr>
          <w:rFonts w:ascii="Times New Roman" w:hAnsi="Times New Roman"/>
          <w:color w:val="000000"/>
          <w:sz w:val="24"/>
        </w:rPr>
      </w:pPr>
      <w:r>
        <w:rPr>
          <w:rFonts w:ascii="Times New Roman" w:hAnsi="Times New Roman"/>
          <w:bCs/>
          <w:sz w:val="24"/>
        </w:rPr>
        <w:t>Toto nařízení obce nabývá účinnosti dnem</w:t>
      </w:r>
      <w:r>
        <w:rPr>
          <w:rFonts w:ascii="Times New Roman" w:hAnsi="Times New Roman"/>
          <w:color w:val="000000"/>
          <w:sz w:val="24"/>
        </w:rPr>
        <w:t xml:space="preserve"> následujícím po dni nabytí účinnosti zrušení vyhlášky č. 23/97 „</w:t>
      </w:r>
      <w:r>
        <w:rPr>
          <w:rFonts w:ascii="Times New Roman" w:hAnsi="Times New Roman"/>
          <w:sz w:val="24"/>
        </w:rPr>
        <w:t>o placeném stání na místních komunikacích</w:t>
      </w:r>
      <w:r>
        <w:rPr>
          <w:rFonts w:ascii="Times New Roman" w:hAnsi="Times New Roman"/>
          <w:color w:val="000000"/>
          <w:sz w:val="24"/>
        </w:rPr>
        <w:t>“</w:t>
      </w:r>
    </w:p>
    <w:p w:rsidR="00306C53" w:rsidRDefault="00306C53">
      <w:pPr>
        <w:pStyle w:val="Prosttext"/>
        <w:shd w:val="clear" w:color="000000" w:fill="FFFFFF"/>
        <w:jc w:val="center"/>
        <w:rPr>
          <w:rFonts w:ascii="Courier New" w:hAnsi="Courier New" w:cs="Courier New"/>
          <w:color w:val="000000"/>
          <w:sz w:val="24"/>
        </w:rPr>
      </w:pPr>
    </w:p>
    <w:p w:rsidR="00306C53" w:rsidRDefault="00306C53">
      <w:pPr>
        <w:pStyle w:val="Zkladntext2"/>
        <w:ind w:left="540"/>
        <w:jc w:val="left"/>
        <w:rPr>
          <w:bCs/>
        </w:rPr>
      </w:pPr>
    </w:p>
    <w:p w:rsidR="00306C53" w:rsidRDefault="00306C53">
      <w:pPr>
        <w:pStyle w:val="Zkladntext2"/>
        <w:ind w:left="540"/>
        <w:jc w:val="left"/>
        <w:rPr>
          <w:bCs/>
        </w:rPr>
      </w:pPr>
    </w:p>
    <w:p w:rsidR="00306C53" w:rsidRDefault="00306C53">
      <w:pPr>
        <w:pStyle w:val="Zkladntext2"/>
        <w:ind w:left="540"/>
        <w:jc w:val="left"/>
        <w:rPr>
          <w:bCs/>
        </w:rPr>
      </w:pPr>
    </w:p>
    <w:p w:rsidR="00306C53" w:rsidRDefault="00306C53">
      <w:pPr>
        <w:pStyle w:val="Zkladntext2"/>
        <w:ind w:left="540"/>
        <w:jc w:val="left"/>
        <w:rPr>
          <w:bCs/>
        </w:rPr>
      </w:pPr>
    </w:p>
    <w:p w:rsidR="00306C53" w:rsidRDefault="00306C53">
      <w:pPr>
        <w:pStyle w:val="Zkladntext2"/>
        <w:ind w:left="540"/>
        <w:jc w:val="left"/>
        <w:rPr>
          <w:bCs/>
        </w:rPr>
      </w:pPr>
      <w:r>
        <w:rPr>
          <w:bCs/>
        </w:rPr>
        <w:t xml:space="preserve">       Pavel Šustáček</w:t>
      </w:r>
      <w:r w:rsidR="00A52355">
        <w:rPr>
          <w:bCs/>
        </w:rPr>
        <w:t xml:space="preserve"> v. r.</w:t>
      </w:r>
      <w:r>
        <w:rPr>
          <w:bCs/>
        </w:rPr>
        <w:t xml:space="preserve">                                                       Jaroslav Kubera</w:t>
      </w:r>
      <w:r w:rsidR="00A52355">
        <w:rPr>
          <w:bCs/>
        </w:rPr>
        <w:t xml:space="preserve"> v. r.</w:t>
      </w:r>
    </w:p>
    <w:p w:rsidR="00306C53" w:rsidRDefault="00306C53">
      <w:pPr>
        <w:pStyle w:val="Zkladntext2"/>
        <w:ind w:left="540"/>
        <w:jc w:val="left"/>
        <w:rPr>
          <w:bCs/>
        </w:rPr>
      </w:pPr>
      <w:r>
        <w:rPr>
          <w:bCs/>
        </w:rPr>
        <w:t xml:space="preserve">náměstek primátora města                                  </w:t>
      </w:r>
      <w:r w:rsidR="00A52355">
        <w:rPr>
          <w:bCs/>
        </w:rPr>
        <w:t xml:space="preserve">                     </w:t>
      </w:r>
      <w:r>
        <w:rPr>
          <w:bCs/>
        </w:rPr>
        <w:t>primátor města</w:t>
      </w:r>
    </w:p>
    <w:p w:rsidR="00306C53" w:rsidRDefault="00306C53"/>
    <w:p w:rsidR="00306C53" w:rsidRDefault="00306C53"/>
    <w:p w:rsidR="00306C53" w:rsidRDefault="00306C53">
      <w:pPr>
        <w:pStyle w:val="Prosttext"/>
        <w:autoSpaceDE/>
        <w:autoSpaceDN/>
        <w:adjustRightInd/>
        <w:rPr>
          <w:rFonts w:ascii="Times New Roman" w:hAnsi="Times New Roman"/>
          <w:sz w:val="24"/>
          <w:szCs w:val="20"/>
        </w:rPr>
      </w:pPr>
    </w:p>
    <w:p w:rsidR="00A52355" w:rsidRPr="00A52355" w:rsidRDefault="00A52355" w:rsidP="00A52355">
      <w:pPr>
        <w:pStyle w:val="Normln0"/>
      </w:pPr>
    </w:p>
    <w:p w:rsidR="00306C53" w:rsidRDefault="00306C53"/>
    <w:p w:rsidR="00306C53" w:rsidRDefault="00306C53">
      <w:pPr>
        <w:pStyle w:val="Nadpis5"/>
      </w:pPr>
      <w:r>
        <w:t>Přílohy : Příloha č. 1 – Přehled místních komunikací nebo jejich úseků, které lze užít za cenu sjednanou v souladu s cenovými předpisy.</w:t>
      </w:r>
    </w:p>
    <w:p w:rsidR="00306C53" w:rsidRDefault="00306C53"/>
    <w:p w:rsidR="00306C53" w:rsidRDefault="00306C53"/>
    <w:p w:rsidR="00306C53" w:rsidRDefault="00306C53">
      <w:pPr>
        <w:rPr>
          <w:sz w:val="24"/>
        </w:rPr>
      </w:pPr>
    </w:p>
    <w:p w:rsidR="00A52355" w:rsidRDefault="00A52355">
      <w:pPr>
        <w:rPr>
          <w:sz w:val="24"/>
        </w:rPr>
      </w:pPr>
    </w:p>
    <w:p w:rsidR="00A52355" w:rsidRDefault="00A52355">
      <w:pPr>
        <w:rPr>
          <w:sz w:val="24"/>
        </w:rPr>
      </w:pPr>
    </w:p>
    <w:p w:rsidR="00A52355" w:rsidRDefault="00A52355">
      <w:pPr>
        <w:rPr>
          <w:sz w:val="24"/>
        </w:rPr>
      </w:pPr>
    </w:p>
    <w:p w:rsidR="00A52355" w:rsidRDefault="00A52355">
      <w:pPr>
        <w:rPr>
          <w:sz w:val="24"/>
        </w:rPr>
      </w:pPr>
    </w:p>
    <w:p w:rsidR="00A52355" w:rsidRDefault="00A52355">
      <w:pPr>
        <w:rPr>
          <w:sz w:val="24"/>
        </w:rPr>
      </w:pPr>
    </w:p>
    <w:p w:rsidR="00306C53" w:rsidRDefault="00306C53">
      <w:pPr>
        <w:rPr>
          <w:sz w:val="24"/>
        </w:rPr>
      </w:pPr>
    </w:p>
    <w:p w:rsidR="00306C53" w:rsidRDefault="00306C53">
      <w:pPr>
        <w:rPr>
          <w:sz w:val="24"/>
        </w:rPr>
      </w:pPr>
    </w:p>
    <w:p w:rsidR="00306C53" w:rsidRDefault="00306C53">
      <w:pPr>
        <w:rPr>
          <w:sz w:val="24"/>
        </w:rPr>
      </w:pPr>
    </w:p>
    <w:p w:rsidR="00306C53" w:rsidRDefault="00306C53">
      <w:pPr>
        <w:rPr>
          <w:sz w:val="24"/>
        </w:rPr>
      </w:pPr>
    </w:p>
    <w:p w:rsidR="00306C53" w:rsidRDefault="00306C53">
      <w:pPr>
        <w:rPr>
          <w:sz w:val="24"/>
        </w:rPr>
      </w:pPr>
    </w:p>
    <w:p w:rsidR="00306C53" w:rsidRDefault="00306C53">
      <w:pPr>
        <w:rPr>
          <w:sz w:val="24"/>
        </w:rPr>
      </w:pPr>
    </w:p>
    <w:p w:rsidR="00306C53" w:rsidRDefault="00306C53"/>
    <w:p w:rsidR="00306C53" w:rsidRDefault="00306C53">
      <w:pPr>
        <w:pStyle w:val="Zkladntext2"/>
        <w:rPr>
          <w:b/>
        </w:rPr>
      </w:pPr>
      <w:r>
        <w:object w:dxaOrig="9189" w:dyaOrig="11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553.5pt" o:ole="">
            <v:imagedata r:id="rId5" o:title=""/>
          </v:shape>
          <o:OLEObject Type="Embed" ProgID="Excel.Sheet.8" ShapeID="_x0000_i1025" DrawAspect="Content" ObjectID="_1719919918" r:id="rId6"/>
        </w:object>
      </w:r>
    </w:p>
    <w:sectPr w:rsidR="00306C53">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25C56"/>
    <w:multiLevelType w:val="hybridMultilevel"/>
    <w:tmpl w:val="2DB87A48"/>
    <w:lvl w:ilvl="0" w:tplc="538E09B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985"/>
    <w:rsid w:val="00306C53"/>
    <w:rsid w:val="004E5985"/>
    <w:rsid w:val="00836B64"/>
    <w:rsid w:val="008A4ECA"/>
    <w:rsid w:val="00A523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1DA87A3-399D-4E61-84CA-6ECA5188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36"/>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outlineLvl w:val="2"/>
    </w:pPr>
    <w:rPr>
      <w:b/>
      <w:u w:val="single"/>
    </w:rPr>
  </w:style>
  <w:style w:type="paragraph" w:styleId="Nadpis4">
    <w:name w:val="heading 4"/>
    <w:basedOn w:val="Normln"/>
    <w:next w:val="Normln"/>
    <w:qFormat/>
    <w:pPr>
      <w:keepNext/>
      <w:outlineLvl w:val="3"/>
    </w:pPr>
    <w:rPr>
      <w:b/>
      <w:sz w:val="28"/>
    </w:rPr>
  </w:style>
  <w:style w:type="paragraph" w:styleId="Nadpis5">
    <w:name w:val="heading 5"/>
    <w:basedOn w:val="Normln"/>
    <w:next w:val="Normln"/>
    <w:qFormat/>
    <w:pPr>
      <w:keepNext/>
      <w:outlineLvl w:val="4"/>
    </w:pPr>
    <w:rPr>
      <w:sz w:val="24"/>
    </w:rPr>
  </w:style>
  <w:style w:type="paragraph" w:styleId="Nadpis6">
    <w:name w:val="heading 6"/>
    <w:basedOn w:val="Normln"/>
    <w:next w:val="Normln"/>
    <w:qFormat/>
    <w:pPr>
      <w:keepNext/>
      <w:jc w:val="center"/>
      <w:outlineLvl w:val="5"/>
    </w:pPr>
    <w:rPr>
      <w:sz w:val="28"/>
    </w:rPr>
  </w:style>
  <w:style w:type="paragraph" w:styleId="Nadpis7">
    <w:name w:val="heading 7"/>
    <w:basedOn w:val="Normln"/>
    <w:next w:val="Normln"/>
    <w:qFormat/>
    <w:pPr>
      <w:keepNext/>
      <w:outlineLvl w:val="6"/>
    </w:pPr>
    <w:rPr>
      <w:b/>
      <w:sz w:val="24"/>
    </w:rPr>
  </w:style>
  <w:style w:type="paragraph" w:styleId="Nadpis8">
    <w:name w:val="heading 8"/>
    <w:basedOn w:val="Normln"/>
    <w:next w:val="Normln"/>
    <w:qFormat/>
    <w:pPr>
      <w:keepNext/>
      <w:outlineLvl w:val="7"/>
    </w:pPr>
    <w:rPr>
      <w:b/>
      <w:sz w:val="32"/>
    </w:rPr>
  </w:style>
  <w:style w:type="paragraph" w:styleId="Nadpis9">
    <w:name w:val="heading 9"/>
    <w:basedOn w:val="Normln"/>
    <w:next w:val="Normln"/>
    <w:qFormat/>
    <w:pPr>
      <w:keepNext/>
      <w:outlineLvl w:val="8"/>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paragraph" w:styleId="Zkladntext">
    <w:name w:val="Body Text"/>
    <w:basedOn w:val="Normln"/>
    <w:semiHidden/>
    <w:pPr>
      <w:jc w:val="both"/>
    </w:pPr>
    <w:rPr>
      <w:sz w:val="28"/>
    </w:rPr>
  </w:style>
  <w:style w:type="paragraph" w:styleId="Zkladntext2">
    <w:name w:val="Body Text 2"/>
    <w:basedOn w:val="Normln"/>
    <w:semiHidden/>
    <w:pPr>
      <w:jc w:val="both"/>
    </w:pPr>
    <w:rPr>
      <w:sz w:val="24"/>
    </w:rPr>
  </w:style>
  <w:style w:type="paragraph" w:styleId="Zkladntext3">
    <w:name w:val="Body Text 3"/>
    <w:basedOn w:val="Normln"/>
    <w:semiHidden/>
    <w:rPr>
      <w:sz w:val="56"/>
    </w:rPr>
  </w:style>
  <w:style w:type="paragraph" w:styleId="Zkladntextodsazen">
    <w:name w:val="Body Text Indent"/>
    <w:basedOn w:val="Normln"/>
    <w:semiHidden/>
    <w:pPr>
      <w:ind w:left="360"/>
    </w:pPr>
    <w:rPr>
      <w:sz w:val="24"/>
    </w:rPr>
  </w:style>
  <w:style w:type="paragraph" w:styleId="Zkladntextodsazen2">
    <w:name w:val="Body Text Indent 2"/>
    <w:basedOn w:val="Normln"/>
    <w:semiHidden/>
    <w:pPr>
      <w:ind w:left="360"/>
    </w:pPr>
    <w:rPr>
      <w:b/>
      <w:sz w:val="24"/>
    </w:rPr>
  </w:style>
  <w:style w:type="paragraph" w:styleId="Zkladntextodsazen3">
    <w:name w:val="Body Text Indent 3"/>
    <w:basedOn w:val="Normln"/>
    <w:semiHidden/>
    <w:pPr>
      <w:ind w:firstLine="708"/>
      <w:jc w:val="both"/>
    </w:pPr>
    <w:rPr>
      <w:sz w:val="24"/>
    </w:rPr>
  </w:style>
  <w:style w:type="paragraph" w:styleId="Nzev">
    <w:name w:val="Title"/>
    <w:basedOn w:val="Normln"/>
    <w:qFormat/>
    <w:pPr>
      <w:jc w:val="center"/>
    </w:pPr>
    <w:rPr>
      <w:b/>
      <w:sz w:val="24"/>
    </w:rPr>
  </w:style>
  <w:style w:type="paragraph" w:customStyle="1" w:styleId="Normln0">
    <w:name w:val="Normln"/>
    <w:pPr>
      <w:autoSpaceDE w:val="0"/>
      <w:autoSpaceDN w:val="0"/>
      <w:adjustRightInd w:val="0"/>
    </w:pPr>
    <w:rPr>
      <w:rFonts w:ascii="MS Sans Serif" w:hAnsi="MS Sans Serif"/>
      <w:szCs w:val="24"/>
    </w:rPr>
  </w:style>
  <w:style w:type="character" w:styleId="Sledovanodkaz">
    <w:name w:val="FollowedHyperlink"/>
    <w:semiHidden/>
    <w:rPr>
      <w:color w:val="800080"/>
      <w:u w:val="single"/>
    </w:rPr>
  </w:style>
  <w:style w:type="paragraph" w:customStyle="1" w:styleId="Prosttext">
    <w:name w:val="Prost text"/>
    <w:basedOn w:val="Normln0"/>
    <w:next w:val="Normln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72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List_aplikace_Microsoft_Excel_97_2003.xls"/><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547</Words>
  <Characters>3230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Přehled opravených komunikací v r</vt:lpstr>
    </vt:vector>
  </TitlesOfParts>
  <Company>MěÚ Teplice</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Přehled opravených komunikací v r</dc:title>
  <dc:subject/>
  <dc:creator>kucerova</dc:creator>
  <cp:keywords/>
  <cp:lastModifiedBy>Pálfi Ivana</cp:lastModifiedBy>
  <cp:revision>3</cp:revision>
  <cp:lastPrinted>2004-05-25T09:03:00Z</cp:lastPrinted>
  <dcterms:created xsi:type="dcterms:W3CDTF">2022-07-21T12:39:00Z</dcterms:created>
  <dcterms:modified xsi:type="dcterms:W3CDTF">2022-07-21T12:46:00Z</dcterms:modified>
</cp:coreProperties>
</file>