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4E76" w14:textId="6730921A" w:rsidR="00591FDC" w:rsidRPr="0023209B" w:rsidRDefault="00591FDC" w:rsidP="00591FDC">
      <w:pPr>
        <w:spacing w:line="276" w:lineRule="auto"/>
        <w:jc w:val="center"/>
        <w:rPr>
          <w:rFonts w:ascii="Arial" w:hAnsi="Arial" w:cs="Arial"/>
          <w:b/>
        </w:rPr>
      </w:pPr>
      <w:bookmarkStart w:id="0" w:name="_Hlk196745533"/>
      <w:r w:rsidRPr="0023209B">
        <w:rPr>
          <w:rFonts w:ascii="Arial" w:hAnsi="Arial" w:cs="Arial"/>
          <w:b/>
        </w:rPr>
        <w:t>OBEC VŠECHOVICE</w:t>
      </w:r>
    </w:p>
    <w:p w14:paraId="5695C528" w14:textId="6EBA5717" w:rsidR="00591FDC" w:rsidRPr="0023209B" w:rsidRDefault="00591FDC" w:rsidP="00591FDC">
      <w:pPr>
        <w:spacing w:line="276" w:lineRule="auto"/>
        <w:jc w:val="center"/>
        <w:rPr>
          <w:rFonts w:ascii="Arial" w:hAnsi="Arial" w:cs="Arial"/>
          <w:b/>
        </w:rPr>
      </w:pPr>
      <w:r w:rsidRPr="0023209B">
        <w:rPr>
          <w:rFonts w:ascii="Arial" w:hAnsi="Arial" w:cs="Arial"/>
          <w:b/>
        </w:rPr>
        <w:t>Zastupitelstvo obce Všechovice</w:t>
      </w:r>
    </w:p>
    <w:p w14:paraId="4AB96F06" w14:textId="77777777" w:rsidR="00591FDC" w:rsidRPr="0023209B" w:rsidRDefault="00591FDC" w:rsidP="00591FDC">
      <w:pPr>
        <w:spacing w:line="276" w:lineRule="auto"/>
        <w:jc w:val="center"/>
        <w:rPr>
          <w:rFonts w:ascii="Arial" w:hAnsi="Arial" w:cs="Arial"/>
          <w:b/>
        </w:rPr>
      </w:pPr>
    </w:p>
    <w:p w14:paraId="46E50B73" w14:textId="77224735" w:rsidR="00591FDC" w:rsidRPr="0023209B" w:rsidRDefault="00591FDC" w:rsidP="00591FDC">
      <w:pPr>
        <w:spacing w:line="276" w:lineRule="auto"/>
        <w:jc w:val="center"/>
        <w:rPr>
          <w:rFonts w:ascii="Arial" w:hAnsi="Arial" w:cs="Arial"/>
          <w:b/>
        </w:rPr>
      </w:pPr>
      <w:r w:rsidRPr="0023209B">
        <w:rPr>
          <w:rFonts w:ascii="Arial" w:hAnsi="Arial" w:cs="Arial"/>
          <w:b/>
        </w:rPr>
        <w:t>Obecně závazná vyhláška obce Všechovice,</w:t>
      </w:r>
    </w:p>
    <w:p w14:paraId="5BF5258C" w14:textId="77777777" w:rsidR="00591FDC" w:rsidRPr="0023209B" w:rsidRDefault="00591FDC" w:rsidP="00591FDC">
      <w:pPr>
        <w:spacing w:after="120" w:line="276" w:lineRule="auto"/>
        <w:jc w:val="center"/>
        <w:rPr>
          <w:rFonts w:ascii="Arial" w:hAnsi="Arial" w:cs="Arial"/>
          <w:b/>
        </w:rPr>
      </w:pPr>
      <w:r w:rsidRPr="0023209B">
        <w:rPr>
          <w:rFonts w:ascii="Arial" w:hAnsi="Arial" w:cs="Arial"/>
          <w:b/>
        </w:rPr>
        <w:t>kterou se reguluje konzumace alkoholických nápojů</w:t>
      </w:r>
    </w:p>
    <w:p w14:paraId="66AE65D7" w14:textId="77777777" w:rsidR="00591FDC" w:rsidRPr="0023209B" w:rsidRDefault="00591FDC" w:rsidP="00591FDC">
      <w:pPr>
        <w:spacing w:after="120" w:line="276" w:lineRule="auto"/>
        <w:jc w:val="center"/>
        <w:rPr>
          <w:rFonts w:ascii="Arial" w:hAnsi="Arial" w:cs="Arial"/>
          <w:b/>
        </w:rPr>
      </w:pPr>
    </w:p>
    <w:p w14:paraId="4B85DE38" w14:textId="1A323238" w:rsidR="00591FDC" w:rsidRPr="0023209B" w:rsidRDefault="00591FDC" w:rsidP="00591FDC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3209B">
        <w:rPr>
          <w:rFonts w:ascii="Arial" w:eastAsia="Calibri" w:hAnsi="Arial" w:cs="Arial"/>
          <w:sz w:val="22"/>
          <w:szCs w:val="22"/>
          <w:lang w:eastAsia="en-US"/>
        </w:rPr>
        <w:t>Zastupitelstvo obce Všechovice se na svém zasedání dne</w:t>
      </w:r>
      <w:r w:rsidR="007D43E5">
        <w:rPr>
          <w:rFonts w:ascii="Arial" w:eastAsia="Calibri" w:hAnsi="Arial" w:cs="Arial"/>
          <w:sz w:val="22"/>
          <w:szCs w:val="22"/>
          <w:lang w:eastAsia="en-US"/>
        </w:rPr>
        <w:t xml:space="preserve"> 23. 6. 2025</w:t>
      </w:r>
      <w:r w:rsidRPr="0023209B">
        <w:rPr>
          <w:rFonts w:ascii="Arial" w:eastAsia="Calibri" w:hAnsi="Arial" w:cs="Arial"/>
          <w:sz w:val="22"/>
          <w:szCs w:val="22"/>
          <w:lang w:eastAsia="en-US"/>
        </w:rPr>
        <w:t xml:space="preserve"> usneslo vydat na základě </w:t>
      </w:r>
      <w:bookmarkStart w:id="1" w:name="_Hlk159326315"/>
      <w:r w:rsidRPr="0023209B">
        <w:rPr>
          <w:rFonts w:ascii="Arial" w:eastAsia="Calibri" w:hAnsi="Arial" w:cs="Arial"/>
          <w:sz w:val="22"/>
          <w:szCs w:val="22"/>
          <w:lang w:eastAsia="en-US"/>
        </w:rPr>
        <w:t xml:space="preserve">§ 17 odst. 2 písm. a) zákona č. 65/2017 Sb., o ochraně zdraví před škodlivými účinky návykových látek, ve znění pozdějších předpisů (dále jen „zákon o ochraně zdraví před škodlivými účinky návykových látek“), a § 10 písm. a) </w:t>
      </w:r>
      <w:bookmarkEnd w:id="1"/>
      <w:r w:rsidRPr="0023209B">
        <w:rPr>
          <w:rFonts w:ascii="Arial" w:eastAsia="Calibri" w:hAnsi="Arial" w:cs="Arial"/>
          <w:sz w:val="22"/>
          <w:szCs w:val="22"/>
          <w:lang w:eastAsia="en-US"/>
        </w:rPr>
        <w:t>a d) a § 84 odst. 2 písm. h) zákona č. 128/2000 Sb., o obcích (obecní zřízení), ve znění pozdějších předpisů, tuto obecně závaznou vyhlášku (dále jen „vyhláška“):</w:t>
      </w:r>
    </w:p>
    <w:p w14:paraId="69AAE082" w14:textId="77777777" w:rsidR="00591FDC" w:rsidRPr="0023209B" w:rsidRDefault="00591FDC" w:rsidP="00591FDC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3209B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23209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14:paraId="5B73D715" w14:textId="3760F115" w:rsidR="00591FDC" w:rsidRPr="0023209B" w:rsidRDefault="00591FDC" w:rsidP="00591FDC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Tato vyhláška je vydávána za účelem ochrany veřejného pořádku </w:t>
      </w:r>
      <w:r w:rsidRPr="0023209B">
        <w:rPr>
          <w:rFonts w:ascii="Arial" w:hAnsi="Arial" w:cs="Arial"/>
          <w:sz w:val="22"/>
          <w:szCs w:val="22"/>
        </w:rPr>
        <w:t xml:space="preserve">v obci </w:t>
      </w: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a v návaznosti na jiné právní předpisy</w:t>
      </w:r>
      <w:r w:rsidRPr="0023209B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stanovuje další opatření k posílení ochrany zdraví před škodlivými účinky konzumace alkoholických nápojů.</w:t>
      </w:r>
      <w:r w:rsidRPr="0023209B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</w:p>
    <w:p w14:paraId="060F2423" w14:textId="77777777" w:rsidR="00591FDC" w:rsidRPr="0023209B" w:rsidRDefault="00591FDC" w:rsidP="00591FDC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Předmětem této vyhlášky je zákaz konzumace alkoholických nápojů na některých veřejných prostranstvích.</w:t>
      </w:r>
    </w:p>
    <w:p w14:paraId="673E48FC" w14:textId="77777777" w:rsidR="00591FDC" w:rsidRPr="0023209B" w:rsidRDefault="00591FDC" w:rsidP="00591FDC">
      <w:pPr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2" w:name="_Hlk196808935"/>
      <w:bookmarkEnd w:id="0"/>
      <w:r w:rsidRPr="0023209B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23209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Zákaz konzumace alkoholických nápojů</w:t>
      </w:r>
    </w:p>
    <w:p w14:paraId="5B82EA19" w14:textId="77777777" w:rsidR="00591FDC" w:rsidRPr="0023209B" w:rsidRDefault="00591FDC" w:rsidP="00591FDC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Konzumace alkoholických nápojů a zdržování se s otevřenou nádobou s alkoholickým nápojem (dále jen „zákaz konzumace alkoholických nápojů“) se zakazuje na těchto veřejných prostranstvích:</w:t>
      </w:r>
    </w:p>
    <w:p w14:paraId="0CB97438" w14:textId="5424912D" w:rsidR="00591FDC" w:rsidRPr="0023209B" w:rsidRDefault="00591FDC" w:rsidP="00591FDC">
      <w:pPr>
        <w:pStyle w:val="Odstavecseseznamem"/>
        <w:keepLines/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 xml:space="preserve">před č.p. 17, č.p. 272, č.p. 29, č.p. 40, č.p. 147, </w:t>
      </w: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která jsou současně vymezena v</w:t>
      </w:r>
      <w:r w:rsid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grafické příloze č. 1 k této vyhlášce,</w:t>
      </w:r>
    </w:p>
    <w:p w14:paraId="485BB944" w14:textId="51DBE430" w:rsidR="00591FDC" w:rsidRPr="0023209B" w:rsidRDefault="00591FDC" w:rsidP="00591FDC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 xml:space="preserve">na všech autobusových zastávkách v obci Všechovice. </w:t>
      </w:r>
    </w:p>
    <w:p w14:paraId="01DF4D09" w14:textId="70BCF155" w:rsidR="00591FDC" w:rsidRPr="0023209B" w:rsidRDefault="00591FDC" w:rsidP="0023209B">
      <w:pPr>
        <w:tabs>
          <w:tab w:val="left" w:pos="567"/>
        </w:tabs>
        <w:suppressAutoHyphens/>
        <w:autoSpaceDN w:val="0"/>
        <w:spacing w:after="120" w:line="276" w:lineRule="auto"/>
        <w:ind w:left="851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6E9AF1E3" w14:textId="77777777" w:rsidR="00591FDC" w:rsidRPr="0023209B" w:rsidRDefault="00591FDC" w:rsidP="00591FDC">
      <w:pPr>
        <w:tabs>
          <w:tab w:val="left" w:pos="567"/>
        </w:tabs>
        <w:suppressAutoHyphens/>
        <w:autoSpaceDN w:val="0"/>
        <w:spacing w:after="120" w:line="276" w:lineRule="auto"/>
        <w:ind w:left="888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493E8455" w14:textId="77777777" w:rsidR="00591FDC" w:rsidRPr="0023209B" w:rsidRDefault="00591FDC" w:rsidP="00591FDC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>Zákaz konzumace alkoholických nápojů neplatí</w:t>
      </w:r>
    </w:p>
    <w:p w14:paraId="7E678CD0" w14:textId="77777777" w:rsidR="00591FDC" w:rsidRPr="0023209B" w:rsidRDefault="00591FDC" w:rsidP="00591FDC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ind w:left="663" w:hanging="170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 xml:space="preserve"> ve dnech 31. prosince a 1. ledna,</w:t>
      </w:r>
    </w:p>
    <w:p w14:paraId="659202E4" w14:textId="77777777" w:rsidR="00591FDC" w:rsidRPr="00A84725" w:rsidRDefault="00591FDC" w:rsidP="00591FDC">
      <w:pPr>
        <w:numPr>
          <w:ilvl w:val="0"/>
          <w:numId w:val="3"/>
        </w:numPr>
        <w:spacing w:after="120" w:line="276" w:lineRule="auto"/>
        <w:ind w:left="777" w:hanging="28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 xml:space="preserve"> </w:t>
      </w:r>
      <w:r w:rsidRPr="00A84725">
        <w:rPr>
          <w:rFonts w:ascii="Arial" w:hAnsi="Arial" w:cs="Arial"/>
          <w:bCs/>
          <w:sz w:val="22"/>
          <w:szCs w:val="22"/>
        </w:rPr>
        <w:t>na restauračních zahrádkách a předzahrádkách, které jsou součástí restauračních zařízení, a to po dobu jejich provozu,</w:t>
      </w:r>
    </w:p>
    <w:p w14:paraId="2D85E46F" w14:textId="27E3CB76" w:rsidR="00591FDC" w:rsidRPr="0023209B" w:rsidRDefault="00591FDC" w:rsidP="00591FDC">
      <w:pPr>
        <w:numPr>
          <w:ilvl w:val="0"/>
          <w:numId w:val="3"/>
        </w:numPr>
        <w:spacing w:after="120" w:line="276" w:lineRule="auto"/>
        <w:ind w:left="663" w:hanging="17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 xml:space="preserve"> v místě a době konání kulturní, sportovní nebo jiné společenské akce přístupné veřejnosti.</w:t>
      </w:r>
    </w:p>
    <w:p w14:paraId="0499369E" w14:textId="77836CC1" w:rsidR="00591FDC" w:rsidRPr="0023209B" w:rsidRDefault="00591FDC" w:rsidP="00591FDC">
      <w:pPr>
        <w:spacing w:after="120" w:line="276" w:lineRule="auto"/>
        <w:ind w:left="663"/>
        <w:contextualSpacing/>
        <w:jc w:val="both"/>
        <w:rPr>
          <w:rFonts w:ascii="Arial" w:hAnsi="Arial" w:cs="Arial"/>
          <w:bCs/>
          <w:sz w:val="22"/>
          <w:szCs w:val="22"/>
        </w:rPr>
      </w:pPr>
    </w:p>
    <w:bookmarkEnd w:id="2"/>
    <w:p w14:paraId="66169E03" w14:textId="4E2F7D07" w:rsidR="00591FDC" w:rsidRPr="00B066DB" w:rsidRDefault="00591FDC" w:rsidP="00591FDC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 xml:space="preserve">Čl. </w:t>
      </w:r>
      <w:r w:rsidR="0023209B">
        <w:rPr>
          <w:rFonts w:ascii="Arial" w:eastAsia="PingFang SC" w:hAnsi="Arial" w:cs="Arial Unicode MS"/>
          <w:b/>
          <w:bCs/>
          <w:kern w:val="3"/>
          <w:lang w:eastAsia="zh-CN" w:bidi="hi-IN"/>
        </w:rPr>
        <w:t>3</w:t>
      </w:r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7B61F009" w14:textId="77777777" w:rsidR="00591FDC" w:rsidRDefault="00591FDC" w:rsidP="00591FDC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7742783C" w14:textId="77777777" w:rsidR="00591FDC" w:rsidRDefault="00591FDC" w:rsidP="00591FDC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D51F91" w14:textId="77777777" w:rsidR="0023209B" w:rsidRDefault="0023209B" w:rsidP="00591FDC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4E0B49F" w14:textId="77777777" w:rsidR="0023209B" w:rsidRDefault="0023209B" w:rsidP="00591FDC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0B9673" w14:textId="0A763A8D" w:rsidR="00591FDC" w:rsidRPr="002E0EAD" w:rsidRDefault="00591FDC" w:rsidP="00591FD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3978EF8" w14:textId="77777777" w:rsidR="00591FDC" w:rsidRPr="002E0EAD" w:rsidRDefault="00591FDC" w:rsidP="00591FD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854AE17" w14:textId="1855D3CA" w:rsidR="00591FDC" w:rsidRPr="002E0EAD" w:rsidRDefault="0023209B" w:rsidP="00591FD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Ing. Marcela Tomášová v. r.</w:t>
      </w:r>
      <w:r w:rsidR="00591FDC" w:rsidRPr="002E0EAD">
        <w:rPr>
          <w:rFonts w:ascii="Arial" w:hAnsi="Arial" w:cs="Arial"/>
          <w:sz w:val="22"/>
          <w:szCs w:val="22"/>
        </w:rPr>
        <w:t xml:space="preserve"> </w:t>
      </w:r>
      <w:r w:rsidR="00591FDC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Radova Mikuš v. r.</w:t>
      </w:r>
    </w:p>
    <w:p w14:paraId="03A774B6" w14:textId="22BE5DF1" w:rsidR="00591FDC" w:rsidRPr="002E0EAD" w:rsidRDefault="00591FDC" w:rsidP="00591FD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23209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591FDC" w:rsidRPr="002E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C1B6" w14:textId="77777777" w:rsidR="00070C51" w:rsidRDefault="00070C51" w:rsidP="00591FDC">
      <w:r>
        <w:separator/>
      </w:r>
    </w:p>
  </w:endnote>
  <w:endnote w:type="continuationSeparator" w:id="0">
    <w:p w14:paraId="6B32A771" w14:textId="77777777" w:rsidR="00070C51" w:rsidRDefault="00070C51" w:rsidP="0059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ingFang SC">
    <w:panose1 w:val="020B0400000000000000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83EC" w14:textId="77777777" w:rsidR="00070C51" w:rsidRDefault="00070C51" w:rsidP="00591FDC">
      <w:r>
        <w:separator/>
      </w:r>
    </w:p>
  </w:footnote>
  <w:footnote w:type="continuationSeparator" w:id="0">
    <w:p w14:paraId="157A4026" w14:textId="77777777" w:rsidR="00070C51" w:rsidRDefault="00070C51" w:rsidP="00591FDC">
      <w:r>
        <w:continuationSeparator/>
      </w:r>
    </w:p>
  </w:footnote>
  <w:footnote w:id="1">
    <w:p w14:paraId="73443BCF" w14:textId="77777777" w:rsidR="00591FDC" w:rsidRDefault="00591FDC" w:rsidP="00591FDC">
      <w:pPr>
        <w:pStyle w:val="Footnote"/>
      </w:pPr>
      <w:r>
        <w:rPr>
          <w:rStyle w:val="Znakapoznpodarou"/>
        </w:rPr>
        <w:footnoteRef/>
      </w:r>
      <w:r>
        <w:t xml:space="preserve"> Například § 11 a násl. zákona o ochraně zdraví před škodlivými účinky návykových látek.</w:t>
      </w:r>
    </w:p>
  </w:footnote>
  <w:footnote w:id="2">
    <w:p w14:paraId="1BB77215" w14:textId="77777777" w:rsidR="00591FDC" w:rsidRDefault="00591FDC" w:rsidP="00591FDC">
      <w:pPr>
        <w:pStyle w:val="Footnote"/>
      </w:pPr>
      <w:r>
        <w:rPr>
          <w:rStyle w:val="Znakapoznpodarou"/>
        </w:rPr>
        <w:footnoteRef/>
      </w:r>
      <w:r>
        <w:t xml:space="preserve"> 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 w:tentative="1">
      <w:start w:val="1"/>
      <w:numFmt w:val="lowerRoman"/>
      <w:lvlText w:val="%3."/>
      <w:lvlJc w:val="right"/>
      <w:pPr>
        <w:ind w:left="5766" w:hanging="180"/>
      </w:pPr>
    </w:lvl>
    <w:lvl w:ilvl="3" w:tplc="0405000F" w:tentative="1">
      <w:start w:val="1"/>
      <w:numFmt w:val="decimal"/>
      <w:lvlText w:val="%4."/>
      <w:lvlJc w:val="left"/>
      <w:pPr>
        <w:ind w:left="6486" w:hanging="360"/>
      </w:pPr>
    </w:lvl>
    <w:lvl w:ilvl="4" w:tplc="04050019" w:tentative="1">
      <w:start w:val="1"/>
      <w:numFmt w:val="lowerLetter"/>
      <w:lvlText w:val="%5."/>
      <w:lvlJc w:val="left"/>
      <w:pPr>
        <w:ind w:left="7206" w:hanging="360"/>
      </w:pPr>
    </w:lvl>
    <w:lvl w:ilvl="5" w:tplc="0405001B" w:tentative="1">
      <w:start w:val="1"/>
      <w:numFmt w:val="lowerRoman"/>
      <w:lvlText w:val="%6."/>
      <w:lvlJc w:val="right"/>
      <w:pPr>
        <w:ind w:left="7926" w:hanging="180"/>
      </w:pPr>
    </w:lvl>
    <w:lvl w:ilvl="6" w:tplc="0405000F" w:tentative="1">
      <w:start w:val="1"/>
      <w:numFmt w:val="decimal"/>
      <w:lvlText w:val="%7."/>
      <w:lvlJc w:val="left"/>
      <w:pPr>
        <w:ind w:left="8646" w:hanging="360"/>
      </w:pPr>
    </w:lvl>
    <w:lvl w:ilvl="7" w:tplc="04050019" w:tentative="1">
      <w:start w:val="1"/>
      <w:numFmt w:val="lowerLetter"/>
      <w:lvlText w:val="%8."/>
      <w:lvlJc w:val="left"/>
      <w:pPr>
        <w:ind w:left="9366" w:hanging="360"/>
      </w:pPr>
    </w:lvl>
    <w:lvl w:ilvl="8" w:tplc="0405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" w15:restartNumberingAfterBreak="0">
    <w:nsid w:val="1F7F72E8"/>
    <w:multiLevelType w:val="hybridMultilevel"/>
    <w:tmpl w:val="C128C9AA"/>
    <w:lvl w:ilvl="0" w:tplc="F456098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7" w15:restartNumberingAfterBreak="0">
    <w:nsid w:val="70DE31C6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num w:numId="1" w16cid:durableId="1124228178">
    <w:abstractNumId w:val="6"/>
  </w:num>
  <w:num w:numId="2" w16cid:durableId="2040934986">
    <w:abstractNumId w:val="4"/>
  </w:num>
  <w:num w:numId="3" w16cid:durableId="76363867">
    <w:abstractNumId w:val="0"/>
  </w:num>
  <w:num w:numId="4" w16cid:durableId="1239630879">
    <w:abstractNumId w:val="2"/>
  </w:num>
  <w:num w:numId="5" w16cid:durableId="365715339">
    <w:abstractNumId w:val="5"/>
  </w:num>
  <w:num w:numId="6" w16cid:durableId="1765612110">
    <w:abstractNumId w:val="3"/>
  </w:num>
  <w:num w:numId="7" w16cid:durableId="1208103650">
    <w:abstractNumId w:val="7"/>
  </w:num>
  <w:num w:numId="8" w16cid:durableId="20290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DC"/>
    <w:rsid w:val="00070C51"/>
    <w:rsid w:val="001148EB"/>
    <w:rsid w:val="0023209B"/>
    <w:rsid w:val="002D0A6B"/>
    <w:rsid w:val="00591FDC"/>
    <w:rsid w:val="007304D9"/>
    <w:rsid w:val="007D43E5"/>
    <w:rsid w:val="00830B74"/>
    <w:rsid w:val="00854D55"/>
    <w:rsid w:val="00872DE9"/>
    <w:rsid w:val="008B28F5"/>
    <w:rsid w:val="009F6431"/>
    <w:rsid w:val="00A84725"/>
    <w:rsid w:val="00B038F2"/>
    <w:rsid w:val="00E16433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A687"/>
  <w15:chartTrackingRefBased/>
  <w15:docId w15:val="{9A1EADD3-CD2A-4704-9AC1-E709A7A0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F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1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1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1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1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1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1F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1F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1F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1F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1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1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1F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1F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1F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1F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1F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1F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1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1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1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1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1F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1F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1F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1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1F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1FD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591FD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91FD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591FDC"/>
    <w:rPr>
      <w:vertAlign w:val="superscript"/>
    </w:rPr>
  </w:style>
  <w:style w:type="paragraph" w:customStyle="1" w:styleId="Footnote">
    <w:name w:val="Footnote"/>
    <w:basedOn w:val="Normln"/>
    <w:rsid w:val="00591FDC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 Věra, Ing.</dc:creator>
  <cp:keywords/>
  <dc:description/>
  <cp:lastModifiedBy>Obec Všechovice</cp:lastModifiedBy>
  <cp:revision>3</cp:revision>
  <dcterms:created xsi:type="dcterms:W3CDTF">2025-06-27T11:37:00Z</dcterms:created>
  <dcterms:modified xsi:type="dcterms:W3CDTF">2025-06-27T12:01:00Z</dcterms:modified>
</cp:coreProperties>
</file>