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12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Kamenný Most</w:t>
        <w:br/>
        <w:t xml:space="preserve">Zastupitelstvo obce Kamenný Most</w:t>
      </w:r>
    </w:p>
    <w:p>
      <w:pPr>
        <w:spacing w:before="238" w:after="238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Kamenn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ý Most</w:t>
        <w:br/>
        <w:t xml:space="preserve">o místním poplatku za odkládání komunálního odpadu z nemovité v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ěci</w:t>
      </w:r>
    </w:p>
    <w:p>
      <w:pPr>
        <w:spacing w:before="62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Kamenný Most se na svém zasedání dne 3.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června 2024 usneslo vydat na 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 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565/1990 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ákon o místních poplatcích“), a v souladu s § 10 písm. d) a § 84 odst. 2 písm. 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 Sb., o 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ředpisů,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vyhl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ška“):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1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 Kamenný Most touto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škou zav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ádí místní poplatek za odkládání komunálního odpadu z 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(d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ále jen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“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Poplatkovým obdobím poplatku je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rok.</w:t>
      </w:r>
    </w:p>
    <w:p>
      <w:pPr>
        <w:numPr>
          <w:ilvl w:val="0"/>
          <w:numId w:val="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Správcem poplatku je obecní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řad.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2</w:t>
        <w:br/>
        <w:t xml:space="preserve">Předmět poplatku, poplatn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ík a plátce poplatku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ředmětem poplatku je odkl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ádání sm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komunálního odpadu z jednotlivé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 rodinnou rekreaci, 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se nachází na území obce.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Poplatníkem poplatku je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fyzická osoba, která má v 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bydliště,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vlastník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ěci, ve kter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nemá bydli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ště 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ádná fyzická osoba.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Plátcem poplatku je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čenstv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vlastník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jednotek, pokud pro dům vzniklo,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vlastník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v ostatn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ípadech.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Plátce poplatku je povinen vybrat poplatek od poplatníka.</w:t>
      </w:r>
    </w:p>
    <w:p>
      <w:pPr>
        <w:numPr>
          <w:ilvl w:val="0"/>
          <w:numId w:val="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Spoluvlastníci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zahrnuj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byt, rodinný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ům nebo stavbu pro rodinnou rekreaci jsou povinni plnit poplatkovou povinnost společně a nerozd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3</w:t>
        <w:br/>
        <w:t xml:space="preserve">Ohlašovac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Plátce poplatku je povinen podat správci poplatku 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30 dnů ode dne, kdy nabyl postaven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plátce poplatku; údaje uvád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upravuje zákon.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Dojde-li ke 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ěně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údaj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v ohlá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í, je plátce povinen tuto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ěnu ozn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ámit do 15 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ode dne, kdy nastala.</w:t>
      </w:r>
    </w:p>
    <w:p>
      <w:pPr>
        <w:numPr>
          <w:ilvl w:val="0"/>
          <w:numId w:val="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Není-li plátce poplatku, plní 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šovac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povinnost poplatník.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4</w:t>
        <w:br/>
        <w:t xml:space="preserve">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áklad poplatku</w:t>
      </w:r>
    </w:p>
    <w:p>
      <w:pPr>
        <w:numPr>
          <w:ilvl w:val="0"/>
          <w:numId w:val="11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Základem díl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poplatku je kapacita soust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řeďovac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prost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ředků pro nemovitou věc na odpad za kalend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 v litrech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řipadaj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na poplatníka.</w:t>
      </w:r>
    </w:p>
    <w:p>
      <w:pPr>
        <w:numPr>
          <w:ilvl w:val="0"/>
          <w:numId w:val="11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Objednanou kapacitou soust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řeďovac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prost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ředků pro nemovitou věc za kalend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řipadaj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ící na poplatníka je</w:t>
      </w:r>
    </w:p>
    <w:p>
      <w:pPr>
        <w:numPr>
          <w:ilvl w:val="0"/>
          <w:numId w:val="11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podíl objednané kapacity soust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řeďovac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prost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ředků pro tuto nemovitou věc na kalend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 a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čtu fyzick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ých osob, které v této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maj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bydli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ště na konci kalend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íce,</w:t>
      </w:r>
    </w:p>
    <w:p>
      <w:pPr>
        <w:numPr>
          <w:ilvl w:val="0"/>
          <w:numId w:val="11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kapacita soust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řeďovac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prost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ředků pro tuto nemovitou věc na kalend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 v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v nemovit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nem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bydli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ště 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ádná fyzická osoba.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5</w:t>
        <w:br/>
        <w:t xml:space="preserve">Sazba poplatku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Sazba poplatku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0,55 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 za l.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6</w:t>
        <w:br/>
        <w:t xml:space="preserve">V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ýpo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čet poplatku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Poplatek se vypo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čte jako součet 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poplatk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 za jednotliv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íce, na jejich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 konci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 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v 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bydliště,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nebo nem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ěla v nemovit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 bydliště ž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ádná fyzická osoba v 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ě, že 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íkem je vlastník této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ěci.</w:t>
      </w:r>
    </w:p>
    <w:p>
      <w:pPr>
        <w:numPr>
          <w:ilvl w:val="0"/>
          <w:numId w:val="15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Díl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poplatek za 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 se vypo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čte jako součin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ákladu díl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poplatku zaokrouhleného na celé litry nahoru a sazby pro tento základ.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7</w:t>
        <w:br/>
        <w:t xml:space="preserve">Splatnost poplatku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Plátce poplatku odvede vybraný poplatek správci poplatku nejpozd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ěji do 31. prosince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ásledujícího kalendá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ího roku.</w:t>
      </w:r>
    </w:p>
    <w:p>
      <w:pPr>
        <w:numPr>
          <w:ilvl w:val="0"/>
          <w:numId w:val="17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Není-li plátce poplatku, zaplatí poplatek ve lh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ůtě podle odstavce 1 poplatn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8</w:t>
        <w:br/>
        <w:t xml:space="preserve">Přechodn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é a zru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í ustanovení</w:t>
      </w:r>
    </w:p>
    <w:p>
      <w:pPr>
        <w:numPr>
          <w:ilvl w:val="0"/>
          <w:numId w:val="1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Poplatkové povinnosti vzniklé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 nabyt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ím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šky se posuzuj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podle dosavadních právních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ředpisů.</w:t>
      </w:r>
    </w:p>
    <w:p>
      <w:pPr>
        <w:numPr>
          <w:ilvl w:val="0"/>
          <w:numId w:val="19"/>
        </w:num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 se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č. 2/2023, o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ístním poplatku za odkládání komunálního odpadu z 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ěci, ze dne 11. prosince 2023.</w:t>
      </w:r>
    </w:p>
    <w:p>
      <w:pPr>
        <w:spacing w:before="36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Čl. 9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činnost</w:t>
      </w:r>
    </w:p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átkem patnáctého dne následujícího po dni jejího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tbl>
      <w:tblPr/>
      <w:tblGrid>
        <w:gridCol w:w="4820"/>
        <w:gridCol w:w="4820"/>
      </w:tblGrid>
      <w:tr>
        <w:trPr>
          <w:trHeight w:val="1134" w:hRule="auto"/>
          <w:jc w:val=""/>
        </w:trPr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Ing. Jitka Luká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čov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á v. r.</w:t>
              <w:br/>
              <w:t xml:space="preserve">starostka </w:t>
            </w:r>
          </w:p>
        </w:tc>
        <w:tc>
          <w:tcPr>
            <w:tcW w:w="48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55" w:type="dxa"/>
              <w:right w:w="55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ěra Pat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ócsová v. r.</w:t>
              <w:br/>
              <w:t xml:space="preserve">místostarostka </w:t>
            </w:r>
          </w:p>
        </w:tc>
      </w:tr>
    </w:tbl>
    <w:p>
      <w:pPr>
        <w:tabs>
          <w:tab w:val="left" w:pos="567" w:leader="none"/>
        </w:tabs>
        <w:spacing w:before="0" w:after="12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5">
    <w:abstractNumId w:val="36"/>
  </w:num>
  <w:num w:numId="7">
    <w:abstractNumId w:val="30"/>
  </w:num>
  <w:num w:numId="9">
    <w:abstractNumId w:val="24"/>
  </w:num>
  <w:num w:numId="11">
    <w:abstractNumId w:val="18"/>
  </w:num>
  <w:num w:numId="15">
    <w:abstractNumId w:val="12"/>
  </w:num>
  <w:num w:numId="17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