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2412"/>
        <w:gridCol w:w="806"/>
        <w:gridCol w:w="4335"/>
        <w:gridCol w:w="1379"/>
        <w:gridCol w:w="1382"/>
      </w:tblGrid>
      <w:tr w:rsidR="005D183A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000000"/>
              <w:left w:val="threeDEmboss" w:sz="6" w:space="0" w:color="000000"/>
              <w:right w:val="single" w:sz="12" w:space="0" w:color="000000"/>
            </w:tcBorders>
          </w:tcPr>
          <w:p w:rsidR="005D183A" w:rsidRDefault="005D183A">
            <w:pPr>
              <w:snapToGrid w:val="0"/>
              <w:jc w:val="center"/>
            </w:pPr>
            <w:bookmarkStart w:id="0" w:name="_GoBack"/>
            <w:bookmarkEnd w:id="0"/>
          </w:p>
          <w:p w:rsidR="005D183A" w:rsidRDefault="005D183A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219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96"/>
            </w:tblGrid>
            <w:tr w:rsidR="005D183A">
              <w:trPr>
                <w:trHeight w:val="539"/>
              </w:trPr>
              <w:tc>
                <w:tcPr>
                  <w:tcW w:w="2196" w:type="dxa"/>
                  <w:tcBorders>
                    <w:top w:val="single" w:sz="18" w:space="0" w:color="0000FF"/>
                    <w:bottom w:val="single" w:sz="18" w:space="0" w:color="0000FF"/>
                  </w:tcBorders>
                </w:tcPr>
                <w:p w:rsidR="005D183A" w:rsidRDefault="00121D22">
                  <w:pPr>
                    <w:jc w:val="center"/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>
                    <w:rPr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:rsidR="005D183A" w:rsidRDefault="00121D22">
            <w:pPr>
              <w:jc w:val="center"/>
              <w:rPr>
                <w:color w:val="0000FF"/>
                <w:spacing w:val="42"/>
                <w:w w:val="98"/>
                <w:sz w:val="20"/>
                <w:szCs w:val="20"/>
              </w:rPr>
            </w:pPr>
            <w:r>
              <w:rPr>
                <w:color w:val="0000FF"/>
                <w:spacing w:val="42"/>
                <w:w w:val="98"/>
                <w:sz w:val="20"/>
                <w:szCs w:val="20"/>
              </w:rPr>
              <w:t xml:space="preserve">Masarykovo </w:t>
            </w:r>
            <w:proofErr w:type="gramStart"/>
            <w:r>
              <w:rPr>
                <w:color w:val="0000FF"/>
                <w:spacing w:val="42"/>
                <w:w w:val="98"/>
                <w:sz w:val="20"/>
                <w:szCs w:val="20"/>
              </w:rPr>
              <w:t>nám.1</w:t>
            </w:r>
            <w:proofErr w:type="gramEnd"/>
          </w:p>
          <w:p w:rsidR="005D183A" w:rsidRDefault="005D183A">
            <w:pPr>
              <w:jc w:val="center"/>
              <w:rPr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threeDEmboss" w:sz="6" w:space="0" w:color="000000"/>
              <w:left w:val="single" w:sz="12" w:space="0" w:color="000000"/>
              <w:bottom w:val="threeDEngrave" w:sz="6" w:space="0" w:color="000000"/>
              <w:right w:val="single" w:sz="12" w:space="0" w:color="000000"/>
            </w:tcBorders>
          </w:tcPr>
          <w:p w:rsidR="005D183A" w:rsidRDefault="005D183A">
            <w:pPr>
              <w:snapToGrid w:val="0"/>
              <w:rPr>
                <w:b/>
                <w:color w:val="0000FF"/>
                <w:spacing w:val="11"/>
                <w:w w:val="98"/>
                <w:sz w:val="20"/>
                <w:szCs w:val="20"/>
              </w:rPr>
            </w:pPr>
          </w:p>
          <w:p w:rsidR="005D183A" w:rsidRDefault="00121D22">
            <w:pPr>
              <w:jc w:val="center"/>
              <w:rPr>
                <w:b/>
                <w:color w:val="0000FF"/>
                <w:sz w:val="30"/>
                <w:szCs w:val="30"/>
              </w:rPr>
            </w:pPr>
            <w:r>
              <w:fldChar w:fldCharType="begin">
                <w:ffData>
                  <w:name w:val="__Fieldmark__0_11491"/>
                  <w:enabled/>
                  <w:calcOnExit w:val="0"/>
                  <w:ddList>
                    <w:listEntry w:val="OBECNĚ ZÁVAZNÁ VYHLÁŠKA"/>
                    <w:listEntry w:val="NAŘÍZENÍ MĚSTA"/>
                  </w:ddList>
                </w:ffData>
              </w:fldChar>
            </w:r>
            <w:r>
              <w:rPr>
                <w:b/>
                <w:color w:val="0000FF"/>
                <w:spacing w:val="74"/>
                <w:sz w:val="30"/>
                <w:szCs w:val="30"/>
              </w:rPr>
              <w:instrText>FORMDROPDOWN</w:instrText>
            </w:r>
            <w:r>
              <w:rPr>
                <w:b/>
                <w:color w:val="0000FF"/>
                <w:spacing w:val="74"/>
                <w:sz w:val="30"/>
                <w:szCs w:val="30"/>
              </w:rPr>
            </w:r>
            <w:r>
              <w:rPr>
                <w:b/>
                <w:color w:val="0000FF"/>
                <w:spacing w:val="74"/>
                <w:sz w:val="30"/>
                <w:szCs w:val="30"/>
              </w:rPr>
              <w:fldChar w:fldCharType="separate"/>
            </w:r>
            <w:bookmarkStart w:id="1" w:name="__Fieldmark__0_1149120147"/>
            <w:bookmarkEnd w:id="1"/>
            <w:r>
              <w:rPr>
                <w:b/>
                <w:color w:val="0000FF"/>
                <w:spacing w:val="74"/>
                <w:sz w:val="30"/>
                <w:szCs w:val="30"/>
              </w:rPr>
              <w:fldChar w:fldCharType="end"/>
            </w:r>
          </w:p>
          <w:p w:rsidR="005D183A" w:rsidRDefault="005D183A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threeDEmboss" w:sz="6" w:space="0" w:color="000000"/>
              <w:left w:val="single" w:sz="12" w:space="0" w:color="000000"/>
              <w:right w:val="threeDEngrave" w:sz="6" w:space="0" w:color="000000"/>
            </w:tcBorders>
          </w:tcPr>
          <w:p w:rsidR="005D183A" w:rsidRDefault="005D183A">
            <w:pPr>
              <w:snapToGrid w:val="0"/>
              <w:rPr>
                <w:sz w:val="20"/>
                <w:szCs w:val="20"/>
              </w:rPr>
            </w:pPr>
          </w:p>
          <w:p w:rsidR="005D183A" w:rsidRDefault="001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Evidenční číslo:</w:t>
            </w:r>
          </w:p>
          <w:p w:rsidR="005D183A" w:rsidRDefault="005D183A">
            <w:pPr>
              <w:tabs>
                <w:tab w:val="left" w:pos="1440"/>
                <w:tab w:val="left" w:pos="5580"/>
              </w:tabs>
              <w:jc w:val="center"/>
              <w:rPr>
                <w:b/>
                <w:sz w:val="20"/>
                <w:szCs w:val="20"/>
              </w:rPr>
            </w:pPr>
          </w:p>
          <w:p w:rsidR="005D183A" w:rsidRDefault="00121D22">
            <w:pPr>
              <w:tabs>
                <w:tab w:val="left" w:pos="1440"/>
                <w:tab w:val="left" w:pos="5580"/>
              </w:tabs>
              <w:jc w:val="center"/>
            </w:pPr>
            <w:r>
              <w:rPr>
                <w:b/>
              </w:rPr>
              <w:t>5/2021   </w:t>
            </w:r>
          </w:p>
          <w:p w:rsidR="005D183A" w:rsidRDefault="005D183A">
            <w:pPr>
              <w:rPr>
                <w:b/>
                <w:sz w:val="20"/>
                <w:szCs w:val="20"/>
              </w:rPr>
            </w:pPr>
          </w:p>
        </w:tc>
      </w:tr>
      <w:tr w:rsidR="005D183A">
        <w:trPr>
          <w:trHeight w:val="519"/>
        </w:trPr>
        <w:tc>
          <w:tcPr>
            <w:tcW w:w="2412" w:type="dxa"/>
            <w:vMerge/>
            <w:tcBorders>
              <w:top w:val="threeDEmboss" w:sz="6" w:space="0" w:color="000000"/>
              <w:left w:val="threeDEmboss" w:sz="6" w:space="0" w:color="000000"/>
              <w:right w:val="single" w:sz="12" w:space="0" w:color="000000"/>
            </w:tcBorders>
          </w:tcPr>
          <w:p w:rsidR="005D183A" w:rsidRDefault="005D18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vMerge/>
            <w:tcBorders>
              <w:top w:val="threeDEmboss" w:sz="6" w:space="0" w:color="000000"/>
              <w:left w:val="single" w:sz="12" w:space="0" w:color="000000"/>
              <w:bottom w:val="threeDEngrave" w:sz="6" w:space="0" w:color="000000"/>
              <w:right w:val="single" w:sz="12" w:space="0" w:color="000000"/>
            </w:tcBorders>
          </w:tcPr>
          <w:p w:rsidR="005D183A" w:rsidRDefault="005D18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single" w:sz="12" w:space="0" w:color="000000"/>
              <w:bottom w:val="threeDEngrave" w:sz="6" w:space="0" w:color="000000"/>
              <w:right w:val="threeDEngrave" w:sz="6" w:space="0" w:color="000000"/>
            </w:tcBorders>
          </w:tcPr>
          <w:p w:rsidR="005D183A" w:rsidRDefault="001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Účinnost od: 9. 7. 2021</w:t>
            </w:r>
          </w:p>
          <w:p w:rsidR="005D183A" w:rsidRDefault="005D183A">
            <w:pPr>
              <w:rPr>
                <w:sz w:val="10"/>
                <w:szCs w:val="10"/>
              </w:rPr>
            </w:pPr>
          </w:p>
          <w:p w:rsidR="005D183A" w:rsidRDefault="005D183A">
            <w:pPr>
              <w:rPr>
                <w:sz w:val="20"/>
                <w:szCs w:val="20"/>
              </w:rPr>
            </w:pPr>
          </w:p>
        </w:tc>
      </w:tr>
      <w:tr w:rsidR="005D183A">
        <w:trPr>
          <w:trHeight w:val="327"/>
        </w:trPr>
        <w:tc>
          <w:tcPr>
            <w:tcW w:w="3218" w:type="dxa"/>
            <w:gridSpan w:val="2"/>
            <w:tcBorders>
              <w:top w:val="threeDEngrav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183A" w:rsidRDefault="00121D22">
            <w:pPr>
              <w:jc w:val="center"/>
              <w:rPr>
                <w:b/>
              </w:rPr>
            </w:pPr>
            <w:r>
              <w:rPr>
                <w:b/>
              </w:rPr>
              <w:t>Vypracoval</w:t>
            </w:r>
          </w:p>
        </w:tc>
        <w:tc>
          <w:tcPr>
            <w:tcW w:w="4335" w:type="dxa"/>
            <w:tcBorders>
              <w:top w:val="threeDEngrav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183A" w:rsidRDefault="00121D22">
            <w:pPr>
              <w:jc w:val="center"/>
              <w:rPr>
                <w:b/>
              </w:rPr>
            </w:pPr>
            <w:r>
              <w:rPr>
                <w:b/>
              </w:rPr>
              <w:t>Zkontroloval</w:t>
            </w:r>
          </w:p>
        </w:tc>
        <w:tc>
          <w:tcPr>
            <w:tcW w:w="2761" w:type="dxa"/>
            <w:gridSpan w:val="2"/>
            <w:tcBorders>
              <w:top w:val="threeDEngrav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D183A" w:rsidRDefault="00121D22">
            <w:pPr>
              <w:jc w:val="center"/>
              <w:rPr>
                <w:b/>
              </w:rPr>
            </w:pPr>
            <w:r>
              <w:rPr>
                <w:b/>
              </w:rPr>
              <w:t>Schválil</w:t>
            </w:r>
          </w:p>
        </w:tc>
      </w:tr>
      <w:tr w:rsidR="005D183A">
        <w:trPr>
          <w:trHeight w:val="1080"/>
        </w:trPr>
        <w:tc>
          <w:tcPr>
            <w:tcW w:w="321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183A" w:rsidRDefault="00121D22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Mgr. Martina </w:t>
            </w:r>
            <w:proofErr w:type="spellStart"/>
            <w:r>
              <w:rPr>
                <w:b/>
              </w:rPr>
              <w:t>Kadrnková</w:t>
            </w:r>
            <w:proofErr w:type="spellEnd"/>
          </w:p>
          <w:p w:rsidR="005D183A" w:rsidRDefault="00121D22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odbor právní a majetku</w:t>
            </w:r>
          </w:p>
        </w:tc>
        <w:tc>
          <w:tcPr>
            <w:tcW w:w="4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183A" w:rsidRDefault="00121D22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Mgr. Petr Spazier</w:t>
            </w:r>
          </w:p>
          <w:p w:rsidR="005D183A" w:rsidRDefault="00121D2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Odbor právní a majetku</w:t>
            </w:r>
          </w:p>
        </w:tc>
        <w:tc>
          <w:tcPr>
            <w:tcW w:w="2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D183A" w:rsidRDefault="00121D22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Zastupitelstvo města dne 22. 6. 2021</w:t>
            </w:r>
          </w:p>
        </w:tc>
      </w:tr>
      <w:tr w:rsidR="005D183A">
        <w:trPr>
          <w:trHeight w:val="888"/>
        </w:trPr>
        <w:tc>
          <w:tcPr>
            <w:tcW w:w="321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57" w:type="dxa"/>
            </w:tcMar>
          </w:tcPr>
          <w:p w:rsidR="005D183A" w:rsidRDefault="001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a podpis:  23. 6. 2021</w:t>
            </w:r>
          </w:p>
          <w:p w:rsidR="005D183A" w:rsidRDefault="001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Martina </w:t>
            </w:r>
            <w:proofErr w:type="spellStart"/>
            <w:r>
              <w:rPr>
                <w:sz w:val="20"/>
                <w:szCs w:val="20"/>
              </w:rPr>
              <w:t>Kadrnková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</w:tc>
        <w:tc>
          <w:tcPr>
            <w:tcW w:w="433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57" w:type="dxa"/>
            </w:tcMar>
          </w:tcPr>
          <w:p w:rsidR="005D183A" w:rsidRDefault="001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a podpis:  23. 6. 2021</w:t>
            </w:r>
          </w:p>
          <w:p w:rsidR="005D183A" w:rsidRDefault="001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Petr Spazier </w:t>
            </w: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</w:tc>
        <w:tc>
          <w:tcPr>
            <w:tcW w:w="2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</w:tcMar>
          </w:tcPr>
          <w:p w:rsidR="005D183A" w:rsidRDefault="001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a podpis:  23. 6. 2021</w:t>
            </w:r>
          </w:p>
          <w:p w:rsidR="005D183A" w:rsidRDefault="0012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Libor Střecha </w:t>
            </w: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</w:tc>
      </w:tr>
    </w:tbl>
    <w:p w:rsidR="005D183A" w:rsidRDefault="00121D22">
      <w:pPr>
        <w:rPr>
          <w:sz w:val="20"/>
          <w:szCs w:val="20"/>
          <w:lang w:val="en-US" w:eastAsia="en-US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1270" distB="1270" distL="116205" distR="116205" simplePos="0" relativeHeight="2" behindDoc="1" locked="0" layoutInCell="0" allowOverlap="1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343535" cy="635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08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0.1pt,280.65pt" to="16.85pt,280.65pt" stroked="t" o:allowincell="f" style="position:absolute;mso-position-horizontal-relative:page;mso-position-vertical-relative:page">
                <v:stroke color="black" weight="324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1270" distB="1270" distL="116205" distR="116205" simplePos="0" relativeHeight="3" behindDoc="1" locked="0" layoutInCell="0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343535" cy="635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08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0.2pt,421pt" to="16.75pt,421pt" stroked="t" o:allowincell="f" style="position:absolute;mso-position-horizontal-relative:page;mso-position-vertical-relative:page">
                <v:stroke color="black" weight="324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1270" distB="1270" distL="116205" distR="116205" simplePos="0" relativeHeight="4" behindDoc="1" locked="0" layoutInCell="0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343535" cy="635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08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0.2pt,561.35pt" to="16.75pt,561.35pt" stroked="t" o:allowincell="f" style="position:absolute;mso-position-horizontal-relative:page;mso-position-vertical-relative:page">
                <v:stroke color="black" weight="324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5D183A" w:rsidRDefault="005D183A">
      <w:pPr>
        <w:rPr>
          <w:sz w:val="12"/>
          <w:szCs w:val="12"/>
        </w:rPr>
      </w:pPr>
    </w:p>
    <w:p w:rsidR="005D183A" w:rsidRDefault="00121D22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D183A" w:rsidRDefault="00121D22">
      <w:pPr>
        <w:tabs>
          <w:tab w:val="left" w:pos="1440"/>
          <w:tab w:val="left" w:pos="5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 nočním </w:t>
      </w:r>
      <w:r>
        <w:rPr>
          <w:b/>
          <w:sz w:val="32"/>
          <w:szCs w:val="32"/>
        </w:rPr>
        <w:t>klidu</w:t>
      </w:r>
    </w:p>
    <w:p w:rsidR="005D183A" w:rsidRDefault="005D183A">
      <w:pPr>
        <w:sectPr w:rsidR="005D183A">
          <w:pgSz w:w="11906" w:h="16838"/>
          <w:pgMar w:top="1418" w:right="1134" w:bottom="1418" w:left="1134" w:header="0" w:footer="0" w:gutter="0"/>
          <w:cols w:space="708"/>
          <w:formProt w:val="0"/>
          <w:docGrid w:linePitch="360"/>
        </w:sectPr>
      </w:pPr>
    </w:p>
    <w:p w:rsidR="005D183A" w:rsidRDefault="005D183A">
      <w:pPr>
        <w:tabs>
          <w:tab w:val="left" w:pos="1440"/>
          <w:tab w:val="left" w:pos="5580"/>
        </w:tabs>
        <w:jc w:val="center"/>
        <w:rPr>
          <w:b/>
          <w:sz w:val="28"/>
          <w:szCs w:val="28"/>
        </w:rPr>
      </w:pPr>
    </w:p>
    <w:p w:rsidR="005D183A" w:rsidRDefault="005D183A">
      <w:pPr>
        <w:tabs>
          <w:tab w:val="left" w:pos="1440"/>
          <w:tab w:val="left" w:pos="5580"/>
        </w:tabs>
        <w:rPr>
          <w:b/>
          <w:sz w:val="28"/>
          <w:szCs w:val="28"/>
        </w:rPr>
      </w:pPr>
    </w:p>
    <w:p w:rsidR="005D183A" w:rsidRDefault="005D183A">
      <w:pPr>
        <w:tabs>
          <w:tab w:val="left" w:pos="1440"/>
          <w:tab w:val="left" w:pos="5580"/>
        </w:tabs>
      </w:pPr>
    </w:p>
    <w:p w:rsidR="005D183A" w:rsidRDefault="00121D22">
      <w:pPr>
        <w:tabs>
          <w:tab w:val="left" w:pos="1440"/>
          <w:tab w:val="left" w:pos="5580"/>
        </w:tabs>
        <w:rPr>
          <w:b/>
          <w:u w:val="single"/>
        </w:rPr>
      </w:pPr>
      <w:r>
        <w:rPr>
          <w:b/>
          <w:u w:val="single"/>
        </w:rPr>
        <w:t>Obsah:</w:t>
      </w:r>
    </w:p>
    <w:sdt>
      <w:sdtPr>
        <w:id w:val="-1727980497"/>
        <w:docPartObj>
          <w:docPartGallery w:val="Table of Contents"/>
          <w:docPartUnique/>
        </w:docPartObj>
      </w:sdtPr>
      <w:sdtEndPr/>
      <w:sdtContent>
        <w:p w:rsidR="005D183A" w:rsidRDefault="00121D22">
          <w:pPr>
            <w:pStyle w:val="Obsah1"/>
            <w:tabs>
              <w:tab w:val="right" w:leader="dot" w:pos="9638"/>
            </w:tabs>
          </w:pPr>
          <w:r>
            <w:fldChar w:fldCharType="begin"/>
          </w:r>
          <w:r>
            <w:rPr>
              <w:rStyle w:val="IndexLink"/>
            </w:rPr>
            <w:instrText>TOC \o "1-3" \h \z \u</w:instrText>
          </w:r>
          <w:r>
            <w:rPr>
              <w:rStyle w:val="IndexLink"/>
            </w:rPr>
            <w:fldChar w:fldCharType="separate"/>
          </w:r>
          <w:hyperlink w:anchor="__RefHeading___Toc71635505">
            <w:r>
              <w:rPr>
                <w:rStyle w:val="IndexLink"/>
              </w:rPr>
              <w:t>Čl. 1 - Předmět</w:t>
            </w:r>
            <w:r>
              <w:rPr>
                <w:rStyle w:val="IndexLink"/>
              </w:rPr>
              <w:tab/>
              <w:t>2</w:t>
            </w:r>
          </w:hyperlink>
        </w:p>
        <w:p w:rsidR="005D183A" w:rsidRDefault="00121D22">
          <w:pPr>
            <w:pStyle w:val="Obsah1"/>
            <w:tabs>
              <w:tab w:val="right" w:leader="dot" w:pos="9638"/>
            </w:tabs>
          </w:pPr>
          <w:hyperlink w:anchor="__RefHeading___Toc71635506">
            <w:r>
              <w:rPr>
                <w:rStyle w:val="IndexLink"/>
              </w:rPr>
              <w:t>Čl. 2 - Doba nočního klidu</w:t>
            </w:r>
            <w:r>
              <w:rPr>
                <w:rStyle w:val="IndexLink"/>
              </w:rPr>
              <w:tab/>
              <w:t>2</w:t>
            </w:r>
          </w:hyperlink>
        </w:p>
        <w:p w:rsidR="005D183A" w:rsidRDefault="00121D22">
          <w:pPr>
            <w:pStyle w:val="Obsah1"/>
            <w:tabs>
              <w:tab w:val="right" w:leader="dot" w:pos="9638"/>
            </w:tabs>
          </w:pPr>
          <w:hyperlink w:anchor="__RefHeading___Toc71635507">
            <w:r>
              <w:rPr>
                <w:rStyle w:val="IndexLink"/>
              </w:rPr>
              <w:t>Čl.</w:t>
            </w:r>
            <w:r>
              <w:rPr>
                <w:rStyle w:val="IndexLink"/>
              </w:rPr>
              <w:t xml:space="preserve"> 3 - Stanovení výjimečných případů, při nichž je doba nočního klidu vymezena dobou kratší nebo žádnou</w:t>
            </w:r>
            <w:r>
              <w:rPr>
                <w:rStyle w:val="IndexLink"/>
              </w:rPr>
              <w:tab/>
              <w:t>2</w:t>
            </w:r>
          </w:hyperlink>
        </w:p>
        <w:p w:rsidR="005D183A" w:rsidRDefault="00121D22">
          <w:pPr>
            <w:pStyle w:val="Obsah1"/>
            <w:tabs>
              <w:tab w:val="right" w:leader="dot" w:pos="9638"/>
            </w:tabs>
          </w:pPr>
          <w:hyperlink w:anchor="__RefHeading___Toc71635508">
            <w:r>
              <w:rPr>
                <w:rStyle w:val="IndexLink"/>
              </w:rPr>
              <w:t>Čl. 4 - Zrušovací ustanovení</w:t>
            </w:r>
            <w:r>
              <w:rPr>
                <w:rStyle w:val="IndexLink"/>
              </w:rPr>
              <w:tab/>
              <w:t>3</w:t>
            </w:r>
          </w:hyperlink>
        </w:p>
        <w:p w:rsidR="005D183A" w:rsidRDefault="00121D22">
          <w:pPr>
            <w:pStyle w:val="Obsah1"/>
            <w:tabs>
              <w:tab w:val="right" w:leader="dot" w:pos="9638"/>
            </w:tabs>
          </w:pPr>
          <w:hyperlink w:anchor="__RefHeading___Toc71635509">
            <w:r>
              <w:rPr>
                <w:rStyle w:val="IndexLink"/>
              </w:rPr>
              <w:t>Čl. 5 - Účinnost</w:t>
            </w:r>
            <w:r>
              <w:rPr>
                <w:rStyle w:val="IndexLink"/>
              </w:rPr>
              <w:tab/>
              <w:t>3</w:t>
            </w:r>
          </w:hyperlink>
          <w:r>
            <w:rPr>
              <w:rStyle w:val="IndexLink"/>
            </w:rPr>
            <w:fldChar w:fldCharType="end"/>
          </w:r>
        </w:p>
      </w:sdtContent>
    </w:sdt>
    <w:p w:rsidR="005D183A" w:rsidRDefault="005D183A">
      <w:pPr>
        <w:tabs>
          <w:tab w:val="left" w:pos="1440"/>
          <w:tab w:val="left" w:pos="5580"/>
        </w:tabs>
        <w:rPr>
          <w:rFonts w:ascii="Calibri" w:hAnsi="Calibri" w:cs="Calibri"/>
          <w:sz w:val="22"/>
          <w:szCs w:val="22"/>
          <w:lang w:val="en-US" w:eastAsia="en-US"/>
        </w:rPr>
      </w:pPr>
    </w:p>
    <w:p w:rsidR="005D183A" w:rsidRDefault="005D183A">
      <w:pPr>
        <w:tabs>
          <w:tab w:val="left" w:pos="1440"/>
          <w:tab w:val="left" w:pos="5580"/>
        </w:tabs>
      </w:pPr>
    </w:p>
    <w:p w:rsidR="005D183A" w:rsidRDefault="005D183A">
      <w:pPr>
        <w:tabs>
          <w:tab w:val="left" w:pos="1440"/>
          <w:tab w:val="left" w:pos="5580"/>
        </w:tabs>
        <w:jc w:val="center"/>
        <w:rPr>
          <w:b/>
        </w:rPr>
      </w:pPr>
    </w:p>
    <w:tbl>
      <w:tblPr>
        <w:tblW w:w="4550" w:type="pct"/>
        <w:jc w:val="center"/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8765"/>
      </w:tblGrid>
      <w:tr w:rsidR="005D183A">
        <w:trPr>
          <w:cantSplit/>
          <w:jc w:val="center"/>
        </w:trPr>
        <w:tc>
          <w:tcPr>
            <w:tcW w:w="8770" w:type="dxa"/>
            <w:tcBorders>
              <w:left w:val="dashed" w:sz="2" w:space="0" w:color="FFFFFF"/>
              <w:bottom w:val="single" w:sz="8" w:space="0" w:color="0000FF"/>
              <w:right w:val="dashed" w:sz="2" w:space="0" w:color="FFFFFF"/>
            </w:tcBorders>
            <w:vAlign w:val="center"/>
          </w:tcPr>
          <w:p w:rsidR="005D183A" w:rsidRDefault="005D183A">
            <w:pPr>
              <w:pStyle w:val="Zpat"/>
              <w:snapToGrid w:val="0"/>
              <w:jc w:val="center"/>
              <w:rPr>
                <w:color w:val="0000FF"/>
                <w:sz w:val="15"/>
                <w:szCs w:val="15"/>
              </w:rPr>
            </w:pPr>
          </w:p>
        </w:tc>
      </w:tr>
      <w:tr w:rsidR="005D183A">
        <w:trPr>
          <w:cantSplit/>
          <w:jc w:val="center"/>
        </w:trPr>
        <w:tc>
          <w:tcPr>
            <w:tcW w:w="8770" w:type="dxa"/>
            <w:tcBorders>
              <w:top w:val="single" w:sz="8" w:space="0" w:color="0000FF"/>
              <w:left w:val="dashed" w:sz="2" w:space="0" w:color="FFFFFF"/>
              <w:bottom w:val="dashed" w:sz="2" w:space="0" w:color="FFFFFF"/>
              <w:right w:val="dashed" w:sz="2" w:space="0" w:color="FFFFFF"/>
            </w:tcBorders>
            <w:vAlign w:val="center"/>
          </w:tcPr>
          <w:p w:rsidR="005D183A" w:rsidRDefault="00121D22">
            <w:pPr>
              <w:pStyle w:val="Zpat"/>
              <w:jc w:val="center"/>
            </w:pPr>
            <w:r>
              <w:rPr>
                <w:color w:val="0000FF"/>
                <w:sz w:val="15"/>
                <w:szCs w:val="15"/>
              </w:rPr>
              <w:t xml:space="preserve">Obsahuje 3 strany textu a 0 příloh   </w:t>
            </w:r>
          </w:p>
          <w:p w:rsidR="005D183A" w:rsidRDefault="005D183A">
            <w:pPr>
              <w:jc w:val="center"/>
              <w:rPr>
                <w:color w:val="0000FF"/>
                <w:sz w:val="15"/>
                <w:szCs w:val="15"/>
              </w:rPr>
            </w:pPr>
          </w:p>
        </w:tc>
      </w:tr>
    </w:tbl>
    <w:p w:rsidR="005D183A" w:rsidRDefault="005D183A">
      <w:pPr>
        <w:sectPr w:rsidR="005D183A">
          <w:type w:val="continuous"/>
          <w:pgSz w:w="11906" w:h="16838"/>
          <w:pgMar w:top="1418" w:right="1134" w:bottom="1418" w:left="1134" w:header="0" w:footer="0" w:gutter="0"/>
          <w:cols w:space="708"/>
          <w:formProt w:val="0"/>
          <w:docGrid w:linePitch="360"/>
        </w:sectPr>
      </w:pPr>
    </w:p>
    <w:p w:rsidR="005D183A" w:rsidRDefault="005D183A">
      <w:pPr>
        <w:tabs>
          <w:tab w:val="left" w:pos="3570"/>
        </w:tabs>
        <w:rPr>
          <w:b/>
        </w:rPr>
      </w:pPr>
    </w:p>
    <w:p w:rsidR="005D183A" w:rsidRDefault="005D183A">
      <w:pPr>
        <w:tabs>
          <w:tab w:val="left" w:pos="3570"/>
        </w:tabs>
      </w:pPr>
    </w:p>
    <w:p w:rsidR="005D183A" w:rsidRDefault="005D183A"/>
    <w:p w:rsidR="005D183A" w:rsidRDefault="005D183A"/>
    <w:p w:rsidR="005D183A" w:rsidRDefault="005D183A"/>
    <w:p w:rsidR="005D183A" w:rsidRDefault="005D183A"/>
    <w:p w:rsidR="005D183A" w:rsidRDefault="005D183A"/>
    <w:p w:rsidR="005D183A" w:rsidRDefault="005D183A"/>
    <w:p w:rsidR="005D183A" w:rsidRDefault="005D183A"/>
    <w:p w:rsidR="005D183A" w:rsidRDefault="005D183A">
      <w:pPr>
        <w:tabs>
          <w:tab w:val="left" w:pos="3570"/>
        </w:tabs>
      </w:pPr>
    </w:p>
    <w:p w:rsidR="005D183A" w:rsidRDefault="005D183A">
      <w:pPr>
        <w:tabs>
          <w:tab w:val="left" w:pos="3570"/>
        </w:tabs>
      </w:pPr>
    </w:p>
    <w:p w:rsidR="005D183A" w:rsidRDefault="00121D22">
      <w:pPr>
        <w:tabs>
          <w:tab w:val="left" w:pos="3570"/>
        </w:tabs>
      </w:pPr>
      <w:r>
        <w:t xml:space="preserve">Vyvěšeno: </w:t>
      </w:r>
      <w:proofErr w:type="gramStart"/>
      <w:r>
        <w:t>24.06.2021</w:t>
      </w:r>
      <w:proofErr w:type="gramEnd"/>
    </w:p>
    <w:p w:rsidR="005D183A" w:rsidRDefault="00121D22">
      <w:pPr>
        <w:tabs>
          <w:tab w:val="left" w:pos="3570"/>
        </w:tabs>
      </w:pPr>
      <w:r>
        <w:lastRenderedPageBreak/>
        <w:t>Sňato:</w:t>
      </w:r>
      <w:r>
        <w:br w:type="page"/>
      </w:r>
    </w:p>
    <w:p w:rsidR="005D183A" w:rsidRDefault="00121D22">
      <w:pPr>
        <w:jc w:val="center"/>
        <w:rPr>
          <w:b/>
        </w:rPr>
      </w:pPr>
      <w:r>
        <w:rPr>
          <w:b/>
        </w:rPr>
        <w:lastRenderedPageBreak/>
        <w:t>OBECNĚ ZÁVAZNÁ VYHLÁŠKA</w:t>
      </w:r>
    </w:p>
    <w:p w:rsidR="005D183A" w:rsidRDefault="00121D22">
      <w:pPr>
        <w:spacing w:after="120"/>
        <w:jc w:val="center"/>
        <w:rPr>
          <w:b/>
        </w:rPr>
      </w:pPr>
      <w:r>
        <w:rPr>
          <w:b/>
        </w:rPr>
        <w:t xml:space="preserve"> č. 5/2021</w:t>
      </w:r>
    </w:p>
    <w:p w:rsidR="005D183A" w:rsidRDefault="005D183A">
      <w:pPr>
        <w:spacing w:after="120"/>
        <w:jc w:val="center"/>
        <w:rPr>
          <w:b/>
        </w:rPr>
      </w:pPr>
    </w:p>
    <w:p w:rsidR="005D183A" w:rsidRDefault="00121D22">
      <w:pPr>
        <w:spacing w:after="120"/>
        <w:jc w:val="center"/>
        <w:rPr>
          <w:b/>
        </w:rPr>
      </w:pPr>
      <w:r>
        <w:rPr>
          <w:b/>
        </w:rPr>
        <w:t>o nočním klidu</w:t>
      </w:r>
    </w:p>
    <w:p w:rsidR="005D183A" w:rsidRDefault="00121D22">
      <w:pPr>
        <w:jc w:val="both"/>
      </w:pPr>
      <w:r>
        <w:t xml:space="preserve">Zastupitelstvo města Hodonína se na svém zasedání dne 22. 6. 2021 usneslo vydat na základě </w:t>
      </w:r>
      <w:r>
        <w:t>ustanovení § 10 písm. d) a ustanovení § 84 odst. 2 písm. h) zákona č. 128/2000 Sb., o obcích (obecní zřízení), ve znění pozdějších předpisů, a na základě ustanovení § 5 odst. 6 zákona č. 251/2016 Sb., o přestupcích, ve znění pozdějších předpisů, tuto obecn</w:t>
      </w:r>
      <w:r>
        <w:t>ě závaznou vyhlášku:</w:t>
      </w:r>
    </w:p>
    <w:p w:rsidR="005D183A" w:rsidRDefault="00121D22">
      <w:pPr>
        <w:pStyle w:val="Nadpis1"/>
      </w:pPr>
      <w:bookmarkStart w:id="2" w:name="__RefHeading___Toc71635505"/>
      <w:bookmarkEnd w:id="2"/>
      <w:r>
        <w:t>Čl. 1 - Předmět</w:t>
      </w:r>
    </w:p>
    <w:p w:rsidR="005D183A" w:rsidRDefault="005D183A">
      <w:pPr>
        <w:jc w:val="center"/>
        <w:rPr>
          <w:b/>
        </w:rPr>
      </w:pPr>
    </w:p>
    <w:p w:rsidR="005D183A" w:rsidRDefault="00121D22">
      <w:pPr>
        <w:jc w:val="both"/>
      </w:pPr>
      <w:r>
        <w:t>Předmětem této obecně závazné vyhlášky je stanovení výjimečných případů, při nichž je doba nočního klidu vymezena dobou kratší nebo žádnou než stanoví zákon.</w:t>
      </w:r>
    </w:p>
    <w:p w:rsidR="005D183A" w:rsidRDefault="005D183A">
      <w:pPr>
        <w:jc w:val="both"/>
      </w:pPr>
    </w:p>
    <w:p w:rsidR="005D183A" w:rsidRDefault="00121D22">
      <w:pPr>
        <w:pStyle w:val="Nadpis1"/>
        <w:spacing w:before="0"/>
      </w:pPr>
      <w:bookmarkStart w:id="3" w:name="__RefHeading___Toc71635506"/>
      <w:bookmarkEnd w:id="3"/>
      <w:r>
        <w:t>Čl. 2 - Doba nočního klidu</w:t>
      </w:r>
    </w:p>
    <w:p w:rsidR="005D183A" w:rsidRDefault="005D183A">
      <w:pPr>
        <w:jc w:val="center"/>
        <w:rPr>
          <w:b/>
        </w:rPr>
      </w:pPr>
    </w:p>
    <w:p w:rsidR="005D183A" w:rsidRDefault="00121D22">
      <w:pPr>
        <w:pStyle w:val="Styl2"/>
      </w:pPr>
      <w:r>
        <w:t xml:space="preserve">Dobou nočního klidu se rozumí </w:t>
      </w:r>
      <w:r>
        <w:t>doba od 22. do 6. hodiny.</w:t>
      </w:r>
      <w:r>
        <w:rPr>
          <w:rStyle w:val="FootnoteAnchor"/>
        </w:rPr>
        <w:footnoteReference w:id="1"/>
      </w:r>
    </w:p>
    <w:p w:rsidR="005D183A" w:rsidRDefault="005D183A"/>
    <w:p w:rsidR="005D183A" w:rsidRDefault="00121D22">
      <w:pPr>
        <w:pStyle w:val="Nadpis1"/>
        <w:spacing w:before="0"/>
      </w:pPr>
      <w:bookmarkStart w:id="4" w:name="__RefHeading___Toc71635507"/>
      <w:bookmarkEnd w:id="4"/>
      <w:r>
        <w:t>Čl. 3 - Stanovení výjimečných případů, při nichž je doba nočního klidu vymezena dobou kratší nebo žádnou</w:t>
      </w:r>
    </w:p>
    <w:p w:rsidR="005D183A" w:rsidRDefault="005D183A">
      <w:pPr>
        <w:jc w:val="center"/>
        <w:rPr>
          <w:b/>
        </w:rPr>
      </w:pPr>
    </w:p>
    <w:p w:rsidR="005D183A" w:rsidRDefault="00121D22">
      <w:pPr>
        <w:pStyle w:val="Styl1"/>
      </w:pPr>
      <w:r>
        <w:t>Doba nočního klidu se nevymezuje v noci z 31. prosince na 1. ledna.</w:t>
      </w:r>
    </w:p>
    <w:p w:rsidR="005D183A" w:rsidRDefault="00121D22">
      <w:pPr>
        <w:pStyle w:val="Styl1"/>
      </w:pPr>
      <w:r>
        <w:t>Doba nočního klidu se vymezuje od 02. do 06. hodiny, a</w:t>
      </w:r>
      <w:r>
        <w:t xml:space="preserve"> to v následujících případech:</w:t>
      </w:r>
    </w:p>
    <w:p w:rsidR="005D183A" w:rsidRDefault="00121D22">
      <w:pPr>
        <w:pStyle w:val="Styl3"/>
        <w:numPr>
          <w:ilvl w:val="1"/>
          <w:numId w:val="12"/>
        </w:numPr>
        <w:ind w:left="714" w:hanging="357"/>
      </w:pPr>
      <w:r>
        <w:t>v době konání tradičních Svatovavřineckých slavností;</w:t>
      </w:r>
    </w:p>
    <w:p w:rsidR="005D183A" w:rsidRDefault="00121D22">
      <w:pPr>
        <w:pStyle w:val="Styl3"/>
        <w:numPr>
          <w:ilvl w:val="1"/>
          <w:numId w:val="12"/>
        </w:numPr>
        <w:ind w:left="714" w:hanging="357"/>
      </w:pPr>
      <w:r>
        <w:t>dne 30. 4. každého roku z důvodu konání tradiční akce „Pálení čarodějnic;“</w:t>
      </w:r>
    </w:p>
    <w:p w:rsidR="005D183A" w:rsidRDefault="00121D22">
      <w:pPr>
        <w:pStyle w:val="Styl3"/>
        <w:numPr>
          <w:ilvl w:val="1"/>
          <w:numId w:val="12"/>
        </w:numPr>
        <w:ind w:left="714" w:hanging="357"/>
      </w:pPr>
      <w:r>
        <w:t xml:space="preserve">v květnu každého roku v období konání každoročního mezinárodního country folkového festivalu </w:t>
      </w:r>
      <w:r>
        <w:t>„</w:t>
      </w:r>
      <w:proofErr w:type="spellStart"/>
      <w:r>
        <w:t>Jezz</w:t>
      </w:r>
      <w:proofErr w:type="spellEnd"/>
      <w:r>
        <w:t xml:space="preserve"> </w:t>
      </w:r>
      <w:proofErr w:type="spellStart"/>
      <w:r>
        <w:t>Fest</w:t>
      </w:r>
      <w:proofErr w:type="spellEnd"/>
      <w:r>
        <w:t>.“</w:t>
      </w:r>
    </w:p>
    <w:p w:rsidR="005D183A" w:rsidRDefault="00121D22">
      <w:pPr>
        <w:pStyle w:val="Styl1"/>
      </w:pPr>
      <w:r>
        <w:t>Doba nočního klidu se vymezuje od 24. do 06. hodiny, a to ze dne 10. 7. 2021 na 11. 7. 2021 z důvodu konání akce „Letní noc.“</w:t>
      </w:r>
    </w:p>
    <w:p w:rsidR="005D183A" w:rsidRDefault="00121D22">
      <w:pPr>
        <w:pStyle w:val="Styl1"/>
      </w:pPr>
      <w:r>
        <w:t>Doba nočního klidu se vymezuje ve všech nocích v neděli, v pondělí a v úterý v období počínajícím nocí 11. 7. 2021 a </w:t>
      </w:r>
      <w:r>
        <w:t>končícím nocí 13. 7. 2021, v období počínajícím nocí 18. 7. 2021 a končícím nocí 20. 7. 2021 a dále v období počínajícím nocí 25. 7. 2021 a končícím nocí 27. 7. 2021 vždy na dobu od 24. do 06. hodiny, a to z důvodu konání Letního kina.</w:t>
      </w:r>
    </w:p>
    <w:p w:rsidR="005D183A" w:rsidRDefault="00121D22">
      <w:pPr>
        <w:pStyle w:val="Styl1"/>
      </w:pPr>
      <w:r>
        <w:t>Doba nočního klidu s</w:t>
      </w:r>
      <w:r>
        <w:t>e vymezuje od 24. do 06. hodiny, a to ze dne 16. 7. 2021 na 17. 7. 2021 z důvodu konání akce „Hello Jazz víkend.“</w:t>
      </w:r>
    </w:p>
    <w:p w:rsidR="005D183A" w:rsidRDefault="00121D22">
      <w:pPr>
        <w:pStyle w:val="Styl1"/>
      </w:pPr>
      <w:r>
        <w:t>Doba nočního klidu se vymezuje od 03. do 06. hodiny, a to ze dne 17. 7. 2021 na 18. 7. 2021 z důvodu konání akce „</w:t>
      </w:r>
      <w:proofErr w:type="spellStart"/>
      <w:r>
        <w:t>Rockuj</w:t>
      </w:r>
      <w:proofErr w:type="spellEnd"/>
      <w:r>
        <w:t xml:space="preserve"> s námi.“</w:t>
      </w:r>
    </w:p>
    <w:p w:rsidR="005D183A" w:rsidRDefault="00121D22">
      <w:pPr>
        <w:pStyle w:val="Styl1"/>
      </w:pPr>
      <w:r>
        <w:t>Doba nočního</w:t>
      </w:r>
      <w:r>
        <w:t xml:space="preserve"> klidu se vymezuje od 01. do 06. hodiny, a to ze dne 30. 7. 2021 na 31. 7. 2021 z důvodu konání akce „Posezení pod Májou.“</w:t>
      </w:r>
    </w:p>
    <w:p w:rsidR="005D183A" w:rsidRDefault="00121D22">
      <w:pPr>
        <w:pStyle w:val="Styl1"/>
      </w:pPr>
      <w:r>
        <w:t xml:space="preserve">Doba nočního klidu se vymezuje ve všech nocích v neděli, v pondělí a v úterý v období počínajícím nocí 1. 8. 2021 a končícím nocí 3. </w:t>
      </w:r>
      <w:r>
        <w:t>8. 2021, v období počínajícím nocí 15. 8. 2021 a končícím nocí 17. 8. 2021, v období počínajícím nocí 22. 8. 2021 a končícím nocí 24. 8. 2021 a dále v období počínajícím nocí 29. 8. 2021 a končícím nocí 31. 8. 2021 vždy na dobu od 23. do 06. hodiny, a to z</w:t>
      </w:r>
      <w:r>
        <w:t> důvodu konání Letního kina.</w:t>
      </w:r>
    </w:p>
    <w:p w:rsidR="005D183A" w:rsidRDefault="00121D22">
      <w:pPr>
        <w:pStyle w:val="Styl1"/>
      </w:pPr>
      <w:r>
        <w:lastRenderedPageBreak/>
        <w:t>Doba nočního klidu se vymezuje od 02. do 06. hodiny, a to ze dne 21. 8. 2021 na 22. 8. 2021 z důvodu konání akce „Připomínky romského holocaustu.“</w:t>
      </w:r>
    </w:p>
    <w:p w:rsidR="005D183A" w:rsidRDefault="00121D22">
      <w:pPr>
        <w:pStyle w:val="Styl1"/>
      </w:pPr>
      <w:r>
        <w:t xml:space="preserve">Doba nočního klidu se vymezuje od 24. do 06. hodiny, a to ze dne 28. 8. 2021 na </w:t>
      </w:r>
      <w:proofErr w:type="gramStart"/>
      <w:r>
        <w:t>29.8. 2021</w:t>
      </w:r>
      <w:proofErr w:type="gramEnd"/>
      <w:r>
        <w:t xml:space="preserve"> z důvodu konání akce „Sraz </w:t>
      </w:r>
      <w:proofErr w:type="spellStart"/>
      <w:r>
        <w:t>foodtrucků</w:t>
      </w:r>
      <w:proofErr w:type="spellEnd"/>
      <w:r>
        <w:t>.“</w:t>
      </w:r>
    </w:p>
    <w:p w:rsidR="005D183A" w:rsidRDefault="00121D22">
      <w:pPr>
        <w:pStyle w:val="Styl1"/>
      </w:pPr>
      <w:r>
        <w:t>Informace o konkrétním termínu konání akcí uvedených v odst. 2 až 10. této obecně závazné vyhlášky bude zveřejněna obecním úřadem na úřední desce minimálně 5 dnů před datem konání.</w:t>
      </w:r>
    </w:p>
    <w:p w:rsidR="005D183A" w:rsidRDefault="005D183A">
      <w:pPr>
        <w:pStyle w:val="Styl1"/>
        <w:numPr>
          <w:ilvl w:val="0"/>
          <w:numId w:val="0"/>
        </w:numPr>
        <w:ind w:left="357"/>
        <w:rPr>
          <w:rStyle w:val="Styl1Char"/>
        </w:rPr>
      </w:pPr>
    </w:p>
    <w:p w:rsidR="005D183A" w:rsidRDefault="00121D22">
      <w:pPr>
        <w:pStyle w:val="Nadpis1"/>
        <w:spacing w:before="0"/>
      </w:pPr>
      <w:bookmarkStart w:id="5" w:name="__RefHeading___Toc71635508"/>
      <w:bookmarkEnd w:id="5"/>
      <w:r>
        <w:t xml:space="preserve">Čl. 4 - Zrušovací </w:t>
      </w:r>
      <w:r>
        <w:t>ustanovení</w:t>
      </w:r>
    </w:p>
    <w:p w:rsidR="005D183A" w:rsidRDefault="005D183A"/>
    <w:p w:rsidR="005D183A" w:rsidRDefault="00121D22">
      <w:pPr>
        <w:pStyle w:val="Styl2"/>
      </w:pPr>
      <w:r>
        <w:t>Nabytím účinnosti této obecně závazné vyhlášky se ruší vyhláška č. 4/2020, O nočním klidu.</w:t>
      </w:r>
    </w:p>
    <w:p w:rsidR="005D183A" w:rsidRDefault="005D183A"/>
    <w:p w:rsidR="005D183A" w:rsidRDefault="005D183A"/>
    <w:p w:rsidR="005D183A" w:rsidRDefault="00121D22">
      <w:pPr>
        <w:pStyle w:val="Nadpis1"/>
        <w:spacing w:before="0"/>
      </w:pPr>
      <w:bookmarkStart w:id="6" w:name="__RefHeading___Toc71635509"/>
      <w:bookmarkEnd w:id="6"/>
      <w:r>
        <w:t>Čl. 5 - Účinnost</w:t>
      </w:r>
    </w:p>
    <w:p w:rsidR="005D183A" w:rsidRDefault="005D183A"/>
    <w:p w:rsidR="005D183A" w:rsidRDefault="00121D22">
      <w:pPr>
        <w:pStyle w:val="Styl2"/>
      </w:pPr>
      <w:r>
        <w:t>Tato obecně závazná vyhláška nabývá účinnosti patnáctým dnem po jejím vyhlášení.</w:t>
      </w:r>
    </w:p>
    <w:p w:rsidR="005D183A" w:rsidRDefault="005D183A">
      <w:pPr>
        <w:pStyle w:val="Styl2"/>
      </w:pPr>
    </w:p>
    <w:p w:rsidR="005D183A" w:rsidRDefault="005D183A">
      <w:pPr>
        <w:jc w:val="both"/>
      </w:pPr>
    </w:p>
    <w:p w:rsidR="005D183A" w:rsidRDefault="005D183A">
      <w:pPr>
        <w:jc w:val="both"/>
      </w:pPr>
    </w:p>
    <w:p w:rsidR="005D183A" w:rsidRDefault="005D183A">
      <w:pPr>
        <w:jc w:val="both"/>
      </w:pPr>
    </w:p>
    <w:tbl>
      <w:tblPr>
        <w:tblW w:w="9072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096"/>
        <w:gridCol w:w="2730"/>
        <w:gridCol w:w="3246"/>
      </w:tblGrid>
      <w:tr w:rsidR="005D183A">
        <w:tc>
          <w:tcPr>
            <w:tcW w:w="3096" w:type="dxa"/>
          </w:tcPr>
          <w:p w:rsidR="005D183A" w:rsidRDefault="00121D22">
            <w:pPr>
              <w:jc w:val="center"/>
            </w:pPr>
            <w:r>
              <w:t>………………………………</w:t>
            </w:r>
          </w:p>
        </w:tc>
        <w:tc>
          <w:tcPr>
            <w:tcW w:w="2730" w:type="dxa"/>
          </w:tcPr>
          <w:p w:rsidR="005D183A" w:rsidRDefault="005D183A">
            <w:pPr>
              <w:snapToGrid w:val="0"/>
              <w:jc w:val="center"/>
            </w:pPr>
          </w:p>
        </w:tc>
        <w:tc>
          <w:tcPr>
            <w:tcW w:w="3246" w:type="dxa"/>
          </w:tcPr>
          <w:p w:rsidR="005D183A" w:rsidRDefault="00121D22">
            <w:pPr>
              <w:jc w:val="center"/>
            </w:pPr>
            <w:r>
              <w:t>………………………………</w:t>
            </w:r>
          </w:p>
        </w:tc>
      </w:tr>
      <w:tr w:rsidR="005D183A">
        <w:trPr>
          <w:trHeight w:val="233"/>
        </w:trPr>
        <w:tc>
          <w:tcPr>
            <w:tcW w:w="3096" w:type="dxa"/>
          </w:tcPr>
          <w:p w:rsidR="005D183A" w:rsidRDefault="00121D22">
            <w:pPr>
              <w:jc w:val="center"/>
              <w:rPr>
                <w:b/>
              </w:rPr>
            </w:pPr>
            <w:r>
              <w:rPr>
                <w:b/>
              </w:rPr>
              <w:t xml:space="preserve">Libor Střecha </w:t>
            </w:r>
            <w:proofErr w:type="gramStart"/>
            <w:r>
              <w:rPr>
                <w:b/>
              </w:rPr>
              <w:t>v.r.</w:t>
            </w:r>
            <w:proofErr w:type="gramEnd"/>
          </w:p>
        </w:tc>
        <w:tc>
          <w:tcPr>
            <w:tcW w:w="2730" w:type="dxa"/>
          </w:tcPr>
          <w:p w:rsidR="005D183A" w:rsidRDefault="005D18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5D183A" w:rsidRDefault="00121D22">
            <w:pPr>
              <w:jc w:val="center"/>
              <w:rPr>
                <w:b/>
              </w:rPr>
            </w:pPr>
            <w:r>
              <w:rPr>
                <w:b/>
              </w:rPr>
              <w:t xml:space="preserve">Mgr. Ladislav </w:t>
            </w:r>
            <w:proofErr w:type="spellStart"/>
            <w:r>
              <w:rPr>
                <w:b/>
              </w:rPr>
              <w:t>Ambrozek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v.r.</w:t>
            </w:r>
            <w:proofErr w:type="gramEnd"/>
          </w:p>
        </w:tc>
      </w:tr>
      <w:tr w:rsidR="005D183A">
        <w:trPr>
          <w:trHeight w:val="80"/>
        </w:trPr>
        <w:tc>
          <w:tcPr>
            <w:tcW w:w="3096" w:type="dxa"/>
          </w:tcPr>
          <w:p w:rsidR="005D183A" w:rsidRDefault="00121D22">
            <w:pPr>
              <w:jc w:val="center"/>
            </w:pPr>
            <w:r>
              <w:t>starosta města</w:t>
            </w:r>
          </w:p>
        </w:tc>
        <w:tc>
          <w:tcPr>
            <w:tcW w:w="2730" w:type="dxa"/>
          </w:tcPr>
          <w:p w:rsidR="005D183A" w:rsidRDefault="005D183A">
            <w:pPr>
              <w:snapToGrid w:val="0"/>
              <w:jc w:val="center"/>
            </w:pPr>
          </w:p>
        </w:tc>
        <w:tc>
          <w:tcPr>
            <w:tcW w:w="3246" w:type="dxa"/>
          </w:tcPr>
          <w:p w:rsidR="005D183A" w:rsidRDefault="00121D22">
            <w:pPr>
              <w:jc w:val="center"/>
            </w:pPr>
            <w:r>
              <w:t>místostarosta města</w:t>
            </w:r>
          </w:p>
        </w:tc>
      </w:tr>
    </w:tbl>
    <w:p w:rsidR="005D183A" w:rsidRDefault="005D183A">
      <w:pPr>
        <w:jc w:val="both"/>
      </w:pPr>
    </w:p>
    <w:sectPr w:rsidR="005D183A">
      <w:type w:val="continuous"/>
      <w:pgSz w:w="11906" w:h="16838"/>
      <w:pgMar w:top="1418" w:right="1134" w:bottom="1418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D22" w:rsidRDefault="00121D22">
      <w:r>
        <w:separator/>
      </w:r>
    </w:p>
  </w:endnote>
  <w:endnote w:type="continuationSeparator" w:id="0">
    <w:p w:rsidR="00121D22" w:rsidRDefault="0012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D22" w:rsidRDefault="00121D22">
      <w:pPr>
        <w:rPr>
          <w:sz w:val="12"/>
        </w:rPr>
      </w:pPr>
      <w:r>
        <w:separator/>
      </w:r>
    </w:p>
  </w:footnote>
  <w:footnote w:type="continuationSeparator" w:id="0">
    <w:p w:rsidR="00121D22" w:rsidRDefault="00121D22">
      <w:pPr>
        <w:rPr>
          <w:sz w:val="12"/>
        </w:rPr>
      </w:pPr>
      <w:r>
        <w:continuationSeparator/>
      </w:r>
    </w:p>
  </w:footnote>
  <w:footnote w:id="1">
    <w:p w:rsidR="005D183A" w:rsidRDefault="00121D22">
      <w:pPr>
        <w:pStyle w:val="Textpoznpodarou"/>
      </w:pPr>
      <w:r>
        <w:rPr>
          <w:rStyle w:val="FootnoteCharacters"/>
        </w:rPr>
        <w:footnoteRef/>
      </w:r>
      <w:r>
        <w:t xml:space="preserve"> </w:t>
      </w:r>
      <w:r>
        <w:t xml:space="preserve">dle ustanovení § 5 odst. 6 zákona č. č. 251/2016 Sb., o některých přestupcích, ve znění pozdějších předpisů, platí, že: </w:t>
      </w:r>
      <w:r>
        <w:rPr>
          <w:i/>
        </w:rPr>
        <w:t>„Dobou nočního klidu se rozumí doba od dvacáté druhé do šesté hodiny. Obec může obecně závaznou vyhláškou stanovit výjimečné případy, ze</w:t>
      </w:r>
      <w:r>
        <w:rPr>
          <w:i/>
        </w:rPr>
        <w:t>jména slavnosti nebo obdobné společenské nebo rodinné akce, při nichž je doba nočního klidu vymezena dobou kratší nebo při nichž nemusí být doba nočního klidu dodržována.“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B2C08"/>
    <w:multiLevelType w:val="multilevel"/>
    <w:tmpl w:val="C46E563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C25543"/>
    <w:multiLevelType w:val="multilevel"/>
    <w:tmpl w:val="6832AF7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16678C"/>
    <w:multiLevelType w:val="multilevel"/>
    <w:tmpl w:val="8100614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800526"/>
    <w:multiLevelType w:val="multilevel"/>
    <w:tmpl w:val="4F06E7C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7A6BE8"/>
    <w:multiLevelType w:val="multilevel"/>
    <w:tmpl w:val="C178A4B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0207A7"/>
    <w:multiLevelType w:val="multilevel"/>
    <w:tmpl w:val="757448C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E4620D"/>
    <w:multiLevelType w:val="multilevel"/>
    <w:tmpl w:val="C860A2C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F84FEF"/>
    <w:multiLevelType w:val="multilevel"/>
    <w:tmpl w:val="A1E8E44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6A4810"/>
    <w:multiLevelType w:val="multilevel"/>
    <w:tmpl w:val="99D4FDF8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B351803"/>
    <w:multiLevelType w:val="multilevel"/>
    <w:tmpl w:val="E0CA5D9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B81C42"/>
    <w:multiLevelType w:val="multilevel"/>
    <w:tmpl w:val="9086ECB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C512CC"/>
    <w:multiLevelType w:val="multilevel"/>
    <w:tmpl w:val="8216F6DE"/>
    <w:lvl w:ilvl="0">
      <w:start w:val="1"/>
      <w:numFmt w:val="decimal"/>
      <w:pStyle w:val="Styl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3A"/>
    <w:rsid w:val="00121D22"/>
    <w:rsid w:val="005D183A"/>
    <w:rsid w:val="00D6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AFD4B-8794-4896-AD4F-84C4A837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kern w:val="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  <w:rPr>
      <w:rFonts w:ascii="Times New Roman" w:eastAsia="Times New Roman" w:hAnsi="Times New Roman" w:cs="Times New Roman"/>
    </w:rPr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styleId="Hypertextovodkaz">
    <w:name w:val="Hyperlink"/>
    <w:rPr>
      <w:color w:val="0000FF"/>
      <w:u w:val="single"/>
    </w:rPr>
  </w:style>
  <w:style w:type="character" w:styleId="AkronymHTML">
    <w:name w:val="HTML Acronym"/>
    <w:basedOn w:val="Standardnpsmoodstavce"/>
    <w:qFormat/>
  </w:style>
  <w:style w:type="character" w:styleId="CittHTML">
    <w:name w:val="HTML Cite"/>
    <w:qFormat/>
    <w:rPr>
      <w:i/>
      <w:iCs/>
    </w:rPr>
  </w:style>
  <w:style w:type="character" w:customStyle="1" w:styleId="LineNumbering">
    <w:name w:val="Line Numbering"/>
    <w:basedOn w:val="Standardnpsmoodstavce"/>
  </w:style>
  <w:style w:type="character" w:styleId="slostrnky">
    <w:name w:val="page number"/>
    <w:basedOn w:val="Standardnpsmoodstavce"/>
  </w:style>
  <w:style w:type="character" w:styleId="DefiniceHTML">
    <w:name w:val="HTML Definition"/>
    <w:qFormat/>
    <w:rPr>
      <w:i/>
      <w:iCs/>
    </w:rPr>
  </w:style>
  <w:style w:type="character" w:styleId="KlvesniceHTML">
    <w:name w:val="HTML Keyboard"/>
    <w:qFormat/>
    <w:rPr>
      <w:rFonts w:ascii="Courier New" w:hAnsi="Courier New" w:cs="Courier New"/>
      <w:sz w:val="20"/>
      <w:szCs w:val="20"/>
    </w:rPr>
  </w:style>
  <w:style w:type="character" w:styleId="KdHTML">
    <w:name w:val="HTML Code"/>
    <w:qFormat/>
    <w:rPr>
      <w:rFonts w:ascii="Courier New" w:hAnsi="Courier New" w:cs="Courier New"/>
      <w:sz w:val="20"/>
      <w:szCs w:val="20"/>
    </w:rPr>
  </w:style>
  <w:style w:type="character" w:styleId="PromnnHTML">
    <w:name w:val="HTML Variable"/>
    <w:qFormat/>
    <w:rPr>
      <w:i/>
      <w:iCs/>
    </w:rPr>
  </w:style>
  <w:style w:type="character" w:styleId="PsacstrojHTML">
    <w:name w:val="HTML Typewriter"/>
    <w:qFormat/>
    <w:rPr>
      <w:rFonts w:ascii="Courier New" w:hAnsi="Courier New" w:cs="Courier New"/>
      <w:sz w:val="20"/>
      <w:szCs w:val="20"/>
    </w:rPr>
  </w:style>
  <w:style w:type="character" w:customStyle="1" w:styleId="StrongEmphasis">
    <w:name w:val="Strong Emphasis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qFormat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character" w:customStyle="1" w:styleId="TextpoznpodarouChar">
    <w:name w:val="Text pozn. pod čarou Char"/>
    <w:basedOn w:val="Standardnpsmoodstavce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Styl1Char">
    <w:name w:val="Styl1 Char"/>
    <w:qFormat/>
    <w:rPr>
      <w:sz w:val="24"/>
      <w:szCs w:val="24"/>
    </w:rPr>
  </w:style>
  <w:style w:type="character" w:customStyle="1" w:styleId="Styl2Char">
    <w:name w:val="Styl2 Char"/>
    <w:qFormat/>
    <w:rPr>
      <w:sz w:val="24"/>
      <w:szCs w:val="24"/>
    </w:rPr>
  </w:style>
  <w:style w:type="character" w:customStyle="1" w:styleId="Styl3Char">
    <w:name w:val="Styl3 Char"/>
    <w:qFormat/>
    <w:rPr>
      <w:sz w:val="24"/>
      <w:szCs w:val="24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Styl4Char">
    <w:name w:val="Styl4 Char"/>
    <w:qFormat/>
    <w:rPr>
      <w:sz w:val="24"/>
      <w:szCs w:val="24"/>
    </w:rPr>
  </w:style>
  <w:style w:type="character" w:customStyle="1" w:styleId="TextkomenteChar">
    <w:name w:val="Text komentáře Char"/>
    <w:basedOn w:val="Standardnpsmoodstavce"/>
    <w:qFormat/>
  </w:style>
  <w:style w:type="character" w:customStyle="1" w:styleId="PedmtkomenteChar">
    <w:name w:val="Předmět komentáře Char"/>
    <w:qFormat/>
    <w:rPr>
      <w:b/>
      <w:bCs/>
    </w:rPr>
  </w:style>
  <w:style w:type="character" w:customStyle="1" w:styleId="IndexLink">
    <w:name w:val="Index Link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n"/>
    <w:next w:val="Zkladntext"/>
    <w:qFormat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Normln"/>
    <w:pPr>
      <w:ind w:left="283" w:hanging="283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</w:style>
  <w:style w:type="paragraph" w:styleId="Obsah2">
    <w:name w:val="toc 2"/>
    <w:basedOn w:val="Normln"/>
    <w:next w:val="Normln"/>
    <w:pPr>
      <w:ind w:left="240"/>
    </w:pPr>
  </w:style>
  <w:style w:type="paragraph" w:styleId="slovanseznam3">
    <w:name w:val="List Number 3"/>
    <w:basedOn w:val="Normln"/>
    <w:qFormat/>
    <w:pPr>
      <w:numPr>
        <w:numId w:val="4"/>
      </w:numPr>
    </w:pPr>
  </w:style>
  <w:style w:type="paragraph" w:styleId="AdresaHTML">
    <w:name w:val="HTML Address"/>
    <w:basedOn w:val="Normln"/>
    <w:qFormat/>
    <w:rPr>
      <w:i/>
      <w:iCs/>
    </w:rPr>
  </w:style>
  <w:style w:type="paragraph" w:styleId="Adresanaoblku">
    <w:name w:val="envelope address"/>
    <w:basedOn w:val="Normln"/>
    <w:pPr>
      <w:ind w:left="2880"/>
    </w:pPr>
    <w:rPr>
      <w:rFonts w:ascii="Arial" w:hAnsi="Arial" w:cs="Arial"/>
    </w:rPr>
  </w:style>
  <w:style w:type="paragraph" w:styleId="slovanseznam">
    <w:name w:val="List Number"/>
    <w:basedOn w:val="Normln"/>
    <w:qFormat/>
    <w:pPr>
      <w:numPr>
        <w:numId w:val="10"/>
      </w:numPr>
    </w:pPr>
  </w:style>
  <w:style w:type="paragraph" w:styleId="slovanseznam2">
    <w:name w:val="List Number 2"/>
    <w:basedOn w:val="Normln"/>
    <w:qFormat/>
    <w:pPr>
      <w:numPr>
        <w:numId w:val="5"/>
      </w:numPr>
    </w:pPr>
  </w:style>
  <w:style w:type="paragraph" w:styleId="slovanseznam4">
    <w:name w:val="List Number 4"/>
    <w:basedOn w:val="Normln"/>
    <w:qFormat/>
    <w:pPr>
      <w:numPr>
        <w:numId w:val="3"/>
      </w:numPr>
    </w:pPr>
  </w:style>
  <w:style w:type="paragraph" w:styleId="slovanseznam5">
    <w:name w:val="List Number 5"/>
    <w:basedOn w:val="Normln"/>
    <w:qFormat/>
    <w:pPr>
      <w:numPr>
        <w:numId w:val="2"/>
      </w:numPr>
    </w:pPr>
  </w:style>
  <w:style w:type="paragraph" w:styleId="Datum">
    <w:name w:val="Date"/>
    <w:basedOn w:val="Normln"/>
    <w:next w:val="Normln"/>
    <w:qFormat/>
  </w:style>
  <w:style w:type="paragraph" w:styleId="FormtovanvHTML">
    <w:name w:val="HTML Preformatted"/>
    <w:basedOn w:val="Normln"/>
    <w:qFormat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qFormat/>
  </w:style>
  <w:style w:type="paragraph" w:styleId="Normlnweb">
    <w:name w:val="Normal (Web)"/>
    <w:basedOn w:val="Normln"/>
    <w:qFormat/>
  </w:style>
  <w:style w:type="paragraph" w:styleId="Normlnodsazen">
    <w:name w:val="Normal Indent"/>
    <w:basedOn w:val="Normln"/>
    <w:qFormat/>
    <w:pPr>
      <w:ind w:left="708"/>
    </w:pPr>
  </w:style>
  <w:style w:type="paragraph" w:styleId="Osloven">
    <w:name w:val="Salutation"/>
    <w:basedOn w:val="Normln"/>
    <w:next w:val="Normln"/>
    <w:qFormat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  <w:qFormat/>
  </w:style>
  <w:style w:type="paragraph" w:styleId="Podtitul">
    <w:name w:val="Subtitle"/>
    <w:basedOn w:val="Normln"/>
    <w:next w:val="Zkladntext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qFormat/>
    <w:pPr>
      <w:spacing w:after="120"/>
      <w:ind w:left="283"/>
    </w:pPr>
  </w:style>
  <w:style w:type="paragraph" w:styleId="Pokraovnseznamu2">
    <w:name w:val="List Continue 2"/>
    <w:basedOn w:val="Normln"/>
    <w:qFormat/>
    <w:pPr>
      <w:spacing w:after="120"/>
      <w:ind w:left="566"/>
    </w:pPr>
  </w:style>
  <w:style w:type="paragraph" w:styleId="Pokraovnseznamu3">
    <w:name w:val="List Continue 3"/>
    <w:basedOn w:val="Normln"/>
    <w:qFormat/>
    <w:pPr>
      <w:spacing w:after="120"/>
      <w:ind w:left="849"/>
    </w:pPr>
  </w:style>
  <w:style w:type="paragraph" w:styleId="Pokraovnseznamu4">
    <w:name w:val="List Continue 4"/>
    <w:basedOn w:val="Normln"/>
    <w:qFormat/>
    <w:pPr>
      <w:spacing w:after="120"/>
      <w:ind w:left="1132"/>
    </w:pPr>
  </w:style>
  <w:style w:type="paragraph" w:styleId="Pokraovnseznamu5">
    <w:name w:val="List Continue 5"/>
    <w:basedOn w:val="Normln"/>
    <w:qFormat/>
    <w:pPr>
      <w:spacing w:after="120"/>
      <w:ind w:left="1415"/>
    </w:pPr>
  </w:style>
  <w:style w:type="paragraph" w:styleId="Prosttext">
    <w:name w:val="Plain Text"/>
    <w:basedOn w:val="Normln"/>
    <w:qFormat/>
    <w:rPr>
      <w:rFonts w:ascii="Courier New" w:hAnsi="Courier New" w:cs="Courier New"/>
      <w:sz w:val="20"/>
      <w:szCs w:val="20"/>
    </w:rPr>
  </w:style>
  <w:style w:type="paragraph" w:styleId="Seznam2">
    <w:name w:val="List 2"/>
    <w:basedOn w:val="Normln"/>
    <w:qFormat/>
    <w:pPr>
      <w:ind w:left="566" w:hanging="283"/>
    </w:pPr>
  </w:style>
  <w:style w:type="paragraph" w:styleId="Seznam3">
    <w:name w:val="List 3"/>
    <w:basedOn w:val="Normln"/>
    <w:qFormat/>
    <w:pPr>
      <w:ind w:left="849" w:hanging="283"/>
    </w:pPr>
  </w:style>
  <w:style w:type="paragraph" w:styleId="Seznam4">
    <w:name w:val="List 4"/>
    <w:basedOn w:val="Normln"/>
    <w:qFormat/>
    <w:pPr>
      <w:ind w:left="1132" w:hanging="283"/>
    </w:pPr>
  </w:style>
  <w:style w:type="paragraph" w:styleId="Seznam5">
    <w:name w:val="List 5"/>
    <w:basedOn w:val="Normln"/>
    <w:qFormat/>
    <w:pPr>
      <w:ind w:left="1415" w:hanging="283"/>
    </w:pPr>
  </w:style>
  <w:style w:type="paragraph" w:styleId="Seznamsodrkami">
    <w:name w:val="List Bullet"/>
    <w:basedOn w:val="Normln"/>
    <w:qFormat/>
    <w:pPr>
      <w:numPr>
        <w:numId w:val="11"/>
      </w:numPr>
    </w:pPr>
  </w:style>
  <w:style w:type="paragraph" w:styleId="Seznamsodrkami2">
    <w:name w:val="List Bullet 2"/>
    <w:basedOn w:val="Normln"/>
    <w:qFormat/>
    <w:pPr>
      <w:numPr>
        <w:numId w:val="9"/>
      </w:numPr>
    </w:pPr>
  </w:style>
  <w:style w:type="paragraph" w:styleId="Seznamsodrkami3">
    <w:name w:val="List Bullet 3"/>
    <w:basedOn w:val="Normln"/>
    <w:qFormat/>
    <w:pPr>
      <w:numPr>
        <w:numId w:val="8"/>
      </w:numPr>
    </w:pPr>
  </w:style>
  <w:style w:type="paragraph" w:styleId="Seznamsodrkami4">
    <w:name w:val="List Bullet 4"/>
    <w:basedOn w:val="Normln"/>
    <w:qFormat/>
    <w:pPr>
      <w:numPr>
        <w:numId w:val="7"/>
      </w:numPr>
    </w:pPr>
  </w:style>
  <w:style w:type="paragraph" w:styleId="Seznamsodrkami5">
    <w:name w:val="List Bullet 5"/>
    <w:basedOn w:val="Normln"/>
    <w:qFormat/>
    <w:pPr>
      <w:numPr>
        <w:numId w:val="6"/>
      </w:numPr>
    </w:pPr>
  </w:style>
  <w:style w:type="paragraph" w:styleId="Textvbloku">
    <w:name w:val="Block Text"/>
    <w:basedOn w:val="Normln"/>
    <w:qFormat/>
    <w:pPr>
      <w:spacing w:after="120"/>
      <w:ind w:left="1440" w:right="1440"/>
    </w:pPr>
  </w:style>
  <w:style w:type="paragraph" w:styleId="Zhlavzprvy">
    <w:name w:val="Message Header"/>
    <w:basedOn w:val="Normln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styleId="Zkladntext-prvnodsazen">
    <w:name w:val="Body Text First Indent"/>
    <w:basedOn w:val="Zkladntext"/>
    <w:qFormat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qFormat/>
    <w:pPr>
      <w:ind w:firstLine="210"/>
    </w:pPr>
  </w:style>
  <w:style w:type="paragraph" w:styleId="Zkladntext2">
    <w:name w:val="Body Text 2"/>
    <w:basedOn w:val="Normln"/>
    <w:qFormat/>
    <w:pPr>
      <w:spacing w:after="120" w:line="480" w:lineRule="auto"/>
    </w:pPr>
  </w:style>
  <w:style w:type="paragraph" w:styleId="Zkladntext3">
    <w:name w:val="Body Text 3"/>
    <w:basedOn w:val="Normln"/>
    <w:qFormat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qFormat/>
    <w:pPr>
      <w:spacing w:after="120" w:line="480" w:lineRule="auto"/>
      <w:ind w:left="283"/>
    </w:pPr>
  </w:style>
  <w:style w:type="paragraph" w:styleId="Zkladntextodsazen3">
    <w:name w:val="Body Text Indent 3"/>
    <w:basedOn w:val="Normln"/>
    <w:qFormat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qFormat/>
    <w:pPr>
      <w:ind w:left="4252"/>
    </w:p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paragraph" w:styleId="Odstavecseseznamem">
    <w:name w:val="List Paragraph"/>
    <w:basedOn w:val="Normln"/>
    <w:qFormat/>
    <w:pPr>
      <w:ind w:left="708"/>
      <w:jc w:val="both"/>
    </w:pPr>
  </w:style>
  <w:style w:type="paragraph" w:customStyle="1" w:styleId="Styl1">
    <w:name w:val="Styl1"/>
    <w:basedOn w:val="Normln"/>
    <w:qFormat/>
    <w:pPr>
      <w:numPr>
        <w:numId w:val="12"/>
      </w:numPr>
      <w:jc w:val="both"/>
    </w:pPr>
  </w:style>
  <w:style w:type="paragraph" w:customStyle="1" w:styleId="Styl2">
    <w:name w:val="Styl2"/>
    <w:basedOn w:val="Normln"/>
    <w:qFormat/>
    <w:pPr>
      <w:jc w:val="both"/>
    </w:pPr>
  </w:style>
  <w:style w:type="paragraph" w:customStyle="1" w:styleId="Styl3">
    <w:name w:val="Styl3"/>
    <w:basedOn w:val="Normln"/>
    <w:qFormat/>
    <w:pPr>
      <w:tabs>
        <w:tab w:val="num" w:pos="0"/>
      </w:tabs>
      <w:ind w:left="714" w:hanging="357"/>
      <w:jc w:val="both"/>
    </w:pPr>
  </w:style>
  <w:style w:type="paragraph" w:customStyle="1" w:styleId="Styl4">
    <w:name w:val="Styl4"/>
    <w:basedOn w:val="Normln"/>
    <w:qFormat/>
    <w:pPr>
      <w:tabs>
        <w:tab w:val="num" w:pos="0"/>
      </w:tabs>
      <w:ind w:left="1134"/>
      <w:jc w:val="both"/>
    </w:p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paragraph" w:customStyle="1" w:styleId="TableContents">
    <w:name w:val="Table Contents"/>
    <w:basedOn w:val="Normln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Staňková Jana DiS.</dc:creator>
  <cp:lastModifiedBy>Staňková Jana DiS.</cp:lastModifiedBy>
  <cp:revision>2</cp:revision>
  <dcterms:created xsi:type="dcterms:W3CDTF">2023-01-23T11:44:00Z</dcterms:created>
  <dcterms:modified xsi:type="dcterms:W3CDTF">2023-01-23T11:44:00Z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2019-10-17T06:05:00Z</dcterms:created>
  <dc:creator>MPSV</dc:creator>
  <dc:description/>
  <cp:keywords> </cp:keywords>
  <dc:language>en-US</dc:language>
  <cp:lastModifiedBy>Žaneta Tinková</cp:lastModifiedBy>
  <cp:lastPrinted>2021-06-23T09:29:00Z</cp:lastPrinted>
  <dcterms:modified xsi:type="dcterms:W3CDTF">2021-06-24T09:18:00Z</dcterms:modified>
  <cp:revision>44</cp:revision>
  <dc:subject/>
  <dc:title> </dc:title>
</cp:coreProperties>
</file>