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7F295C98" w:rsidR="00455210" w:rsidRPr="00FD7DB7" w:rsidRDefault="00ED4809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D4809">
              <w:rPr>
                <w:rFonts w:ascii="Times New Roman" w:hAnsi="Times New Roman"/>
              </w:rPr>
              <w:t>SZ UKZUZ 213667/2023/58346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B941C52" w:rsidR="00455210" w:rsidRPr="00FD7DB7" w:rsidRDefault="0040265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0265A">
              <w:rPr>
                <w:rFonts w:ascii="Times New Roman" w:hAnsi="Times New Roman"/>
              </w:rPr>
              <w:t>UKZUZ 077905/2024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6460149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ED4809">
              <w:rPr>
                <w:rFonts w:ascii="Times New Roman" w:hAnsi="Times New Roman"/>
              </w:rPr>
              <w:t>leptostar</w:t>
            </w:r>
            <w:proofErr w:type="spellEnd"/>
            <w:r w:rsidR="00ED4809">
              <w:rPr>
                <w:rFonts w:ascii="Times New Roman" w:hAnsi="Times New Roman"/>
              </w:rPr>
              <w:t xml:space="preserve"> 200 </w:t>
            </w:r>
            <w:proofErr w:type="spellStart"/>
            <w:r w:rsidR="00ED4809">
              <w:rPr>
                <w:rFonts w:ascii="Times New Roman" w:hAnsi="Times New Roman"/>
              </w:rPr>
              <w:t>sl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566DC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59C3257" w:rsidR="00455210" w:rsidRPr="00566DC1" w:rsidRDefault="00566DC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3</w:t>
            </w:r>
            <w:r w:rsidR="0038392F" w:rsidRPr="00566DC1">
              <w:rPr>
                <w:rFonts w:ascii="Times New Roman" w:hAnsi="Times New Roman"/>
              </w:rPr>
              <w:t xml:space="preserve">. </w:t>
            </w:r>
            <w:r w:rsidRPr="00566DC1">
              <w:rPr>
                <w:rFonts w:ascii="Times New Roman" w:hAnsi="Times New Roman"/>
              </w:rPr>
              <w:t>května</w:t>
            </w:r>
            <w:r w:rsidR="0038392F" w:rsidRPr="00566DC1">
              <w:rPr>
                <w:rFonts w:ascii="Times New Roman" w:hAnsi="Times New Roman"/>
              </w:rPr>
              <w:t xml:space="preserve"> 202</w:t>
            </w:r>
            <w:r w:rsidR="00422C4D" w:rsidRPr="00566DC1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E897504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ED4809">
        <w:rPr>
          <w:rFonts w:ascii="Times New Roman" w:hAnsi="Times New Roman"/>
          <w:b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b/>
          <w:sz w:val="24"/>
          <w:szCs w:val="24"/>
        </w:rPr>
        <w:t xml:space="preserve"> 200 SL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D4809">
        <w:rPr>
          <w:rFonts w:ascii="Times New Roman" w:hAnsi="Times New Roman"/>
          <w:b/>
          <w:sz w:val="24"/>
          <w:szCs w:val="24"/>
        </w:rPr>
        <w:t>6072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18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275"/>
        <w:gridCol w:w="774"/>
        <w:gridCol w:w="2140"/>
        <w:gridCol w:w="1843"/>
      </w:tblGrid>
      <w:tr w:rsidR="00E94849" w:rsidRPr="00E94849" w14:paraId="0FB72DEE" w14:textId="77777777" w:rsidTr="00ED4809">
        <w:tc>
          <w:tcPr>
            <w:tcW w:w="1985" w:type="dxa"/>
          </w:tcPr>
          <w:p w14:paraId="2D63DF35" w14:textId="0C25C5BC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</w:t>
            </w:r>
            <w:r w:rsidR="00ED4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74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40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D4809" w:rsidRPr="00ED4809" w14:paraId="7577C686" w14:textId="77777777" w:rsidTr="00ED4809">
        <w:tc>
          <w:tcPr>
            <w:tcW w:w="1985" w:type="dxa"/>
          </w:tcPr>
          <w:p w14:paraId="0169AAE1" w14:textId="2426870A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701" w:type="dxa"/>
          </w:tcPr>
          <w:p w14:paraId="4DCD1BAE" w14:textId="75175422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krytonosec čtyřzubý, krytonosec řepkový</w:t>
            </w:r>
          </w:p>
        </w:tc>
        <w:tc>
          <w:tcPr>
            <w:tcW w:w="1275" w:type="dxa"/>
          </w:tcPr>
          <w:p w14:paraId="50ABC6EA" w14:textId="1B03A3D3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15B4B04B" w14:textId="3BF623CC" w:rsidR="00ED4809" w:rsidRPr="00B12980" w:rsidRDefault="007103E6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BA5D401" w14:textId="77777777" w:rsidR="00ED4809" w:rsidRPr="00ED4809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20 BBCH, do: 59 BBCH </w:t>
            </w:r>
          </w:p>
          <w:p w14:paraId="68FAE91B" w14:textId="03C30AE0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CCD9270" w14:textId="05BAA301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03644415" w14:textId="77777777" w:rsidTr="00ED4809">
        <w:tc>
          <w:tcPr>
            <w:tcW w:w="1985" w:type="dxa"/>
          </w:tcPr>
          <w:p w14:paraId="0F07FBFE" w14:textId="75B098B6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701" w:type="dxa"/>
          </w:tcPr>
          <w:p w14:paraId="405AF5BF" w14:textId="12DF6DC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1275" w:type="dxa"/>
          </w:tcPr>
          <w:p w14:paraId="7C927C3F" w14:textId="20829E32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432BD527" w14:textId="4383802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C84E50D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50 BBCH, do: 59 BBCH </w:t>
            </w:r>
          </w:p>
          <w:p w14:paraId="1AB57141" w14:textId="41540DF9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DC68189" w14:textId="640C114A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6372B0C1" w14:textId="77777777" w:rsidTr="00ED4809">
        <w:tc>
          <w:tcPr>
            <w:tcW w:w="1985" w:type="dxa"/>
          </w:tcPr>
          <w:p w14:paraId="38948EE7" w14:textId="4DFB9B29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lastRenderedPageBreak/>
              <w:t>řepka olejka jarní, hořčice bílá, hořčice černá, hořčice červená, řepice olejná</w:t>
            </w:r>
          </w:p>
        </w:tc>
        <w:tc>
          <w:tcPr>
            <w:tcW w:w="1701" w:type="dxa"/>
          </w:tcPr>
          <w:p w14:paraId="363B1361" w14:textId="487C5A2C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krytonosec </w:t>
            </w: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šešulový</w:t>
            </w:r>
            <w:proofErr w:type="spellEnd"/>
            <w:r w:rsidRPr="00ED4809">
              <w:rPr>
                <w:rFonts w:ascii="Times New Roman" w:hAnsi="Times New Roman"/>
                <w:sz w:val="24"/>
                <w:szCs w:val="24"/>
              </w:rPr>
              <w:t>, bejlomorka kapustová</w:t>
            </w:r>
          </w:p>
        </w:tc>
        <w:tc>
          <w:tcPr>
            <w:tcW w:w="1275" w:type="dxa"/>
          </w:tcPr>
          <w:p w14:paraId="13633374" w14:textId="659C2180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3B98C947" w14:textId="26D7A30C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0A8D2D0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59 BBCH, do: 71 BBCH </w:t>
            </w:r>
          </w:p>
          <w:p w14:paraId="5FB999FE" w14:textId="77AC48BB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E558F98" w14:textId="128FE257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0EF2AEAF" w14:textId="77777777" w:rsidTr="00ED4809">
        <w:tc>
          <w:tcPr>
            <w:tcW w:w="1985" w:type="dxa"/>
          </w:tcPr>
          <w:p w14:paraId="41F3C3BD" w14:textId="31BE0B56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701" w:type="dxa"/>
          </w:tcPr>
          <w:p w14:paraId="3FA90B84" w14:textId="62C5A1E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dřepčík pryšcový, dřepčík lnový</w:t>
            </w:r>
          </w:p>
        </w:tc>
        <w:tc>
          <w:tcPr>
            <w:tcW w:w="1275" w:type="dxa"/>
          </w:tcPr>
          <w:p w14:paraId="532BA955" w14:textId="52E2106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7ECCC48D" w14:textId="3996BF27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76F1F9A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10 BBCH, do: 14 BBCH </w:t>
            </w:r>
          </w:p>
          <w:p w14:paraId="4D0C0EAD" w14:textId="6D1C1F8C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29BD2CB" w14:textId="0AF62954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4C04D809" w14:textId="77777777" w:rsidTr="00ED4809">
        <w:tc>
          <w:tcPr>
            <w:tcW w:w="1985" w:type="dxa"/>
          </w:tcPr>
          <w:p w14:paraId="0F24297F" w14:textId="459D5E85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701" w:type="dxa"/>
          </w:tcPr>
          <w:p w14:paraId="7958B045" w14:textId="413FF93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třásněnka </w:t>
            </w: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úzkohlavá</w:t>
            </w:r>
            <w:proofErr w:type="spellEnd"/>
            <w:r w:rsidRPr="00ED4809">
              <w:rPr>
                <w:rFonts w:ascii="Times New Roman" w:hAnsi="Times New Roman"/>
                <w:sz w:val="24"/>
                <w:szCs w:val="24"/>
              </w:rPr>
              <w:t>, třásněnka lnová</w:t>
            </w:r>
          </w:p>
        </w:tc>
        <w:tc>
          <w:tcPr>
            <w:tcW w:w="1275" w:type="dxa"/>
          </w:tcPr>
          <w:p w14:paraId="5A6F3DAD" w14:textId="4E49B310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0121EE7C" w14:textId="6730130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0AF1CD7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30 BBCH, do: 61 BBCH </w:t>
            </w:r>
          </w:p>
          <w:p w14:paraId="789E045D" w14:textId="28F228F7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11A60EA" w14:textId="209C301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5BAEFCB7" w14:textId="77777777" w:rsidTr="00ED4809">
        <w:tc>
          <w:tcPr>
            <w:tcW w:w="1985" w:type="dxa"/>
          </w:tcPr>
          <w:p w14:paraId="70E0A1BD" w14:textId="7C674A18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701" w:type="dxa"/>
          </w:tcPr>
          <w:p w14:paraId="74A9D302" w14:textId="21928065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dřepčík chmelový</w:t>
            </w:r>
          </w:p>
        </w:tc>
        <w:tc>
          <w:tcPr>
            <w:tcW w:w="1275" w:type="dxa"/>
          </w:tcPr>
          <w:p w14:paraId="3210DD9A" w14:textId="0C5457F8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1AB9212D" w14:textId="3A5802C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84D087F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11 BBCH, do: 14 BBCH </w:t>
            </w:r>
          </w:p>
          <w:p w14:paraId="4C1229BF" w14:textId="2E4BC8A1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FD86531" w14:textId="22EEB602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251255B5" w14:textId="77777777" w:rsidTr="00ED4809">
        <w:tc>
          <w:tcPr>
            <w:tcW w:w="1985" w:type="dxa"/>
          </w:tcPr>
          <w:p w14:paraId="6F2AB836" w14:textId="1ABF7E31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701" w:type="dxa"/>
          </w:tcPr>
          <w:p w14:paraId="54E9E7E0" w14:textId="3F58E103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zavíječ kukuřičný</w:t>
            </w:r>
          </w:p>
        </w:tc>
        <w:tc>
          <w:tcPr>
            <w:tcW w:w="1275" w:type="dxa"/>
          </w:tcPr>
          <w:p w14:paraId="2C716ABF" w14:textId="4FBD074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1618EA38" w14:textId="5D6EC449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7606422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červen </w:t>
            </w:r>
          </w:p>
          <w:p w14:paraId="54DE2F19" w14:textId="6923D9D5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AC1BA3B" w14:textId="3AC92CAA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29CB6C4C" w14:textId="77777777" w:rsidTr="00ED4809">
        <w:tc>
          <w:tcPr>
            <w:tcW w:w="1985" w:type="dxa"/>
          </w:tcPr>
          <w:p w14:paraId="0408B7E7" w14:textId="21CE25A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701" w:type="dxa"/>
          </w:tcPr>
          <w:p w14:paraId="5D83C2F4" w14:textId="7C879490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1275" w:type="dxa"/>
          </w:tcPr>
          <w:p w14:paraId="22DAE0A9" w14:textId="785B662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41E97AF4" w14:textId="7D6D0F5D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6518736" w14:textId="77777777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39 BBCH, do: 59 BBCH </w:t>
            </w:r>
          </w:p>
          <w:p w14:paraId="351EA806" w14:textId="157EA375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420CFA9" w14:textId="52C3499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72B7E719" w14:textId="77777777" w:rsidTr="00ED4809">
        <w:tc>
          <w:tcPr>
            <w:tcW w:w="1985" w:type="dxa"/>
          </w:tcPr>
          <w:p w14:paraId="066F05B0" w14:textId="656ABA2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701" w:type="dxa"/>
          </w:tcPr>
          <w:p w14:paraId="6C39F56B" w14:textId="4A74A88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listopasi</w:t>
            </w:r>
            <w:proofErr w:type="spellEnd"/>
          </w:p>
        </w:tc>
        <w:tc>
          <w:tcPr>
            <w:tcW w:w="1275" w:type="dxa"/>
          </w:tcPr>
          <w:p w14:paraId="06890AD4" w14:textId="787364D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52710B5B" w14:textId="5BF363BC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C33D16E" w14:textId="77777777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11 BBCH, do: 19 BBCH </w:t>
            </w:r>
          </w:p>
          <w:p w14:paraId="55CD7F91" w14:textId="70BCF5E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7A3D1E4" w14:textId="28EB7C9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7867E2E0" w14:textId="77777777" w:rsidTr="00ED4809">
        <w:tc>
          <w:tcPr>
            <w:tcW w:w="1985" w:type="dxa"/>
          </w:tcPr>
          <w:p w14:paraId="2FDECA42" w14:textId="7DF085B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701" w:type="dxa"/>
          </w:tcPr>
          <w:p w14:paraId="11021780" w14:textId="0F468FD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klopuška chlupatá, mšice</w:t>
            </w:r>
          </w:p>
        </w:tc>
        <w:tc>
          <w:tcPr>
            <w:tcW w:w="1275" w:type="dxa"/>
          </w:tcPr>
          <w:p w14:paraId="184C54F5" w14:textId="21088378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4363EB1C" w14:textId="2346145E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7A2890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61 BBCH, do: 65 BBCH </w:t>
            </w:r>
          </w:p>
          <w:p w14:paraId="6B3F5C2C" w14:textId="216EAE93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8BFFD5D" w14:textId="6D17E9B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6555C541" w14:textId="77777777" w:rsidTr="00ED4809">
        <w:tc>
          <w:tcPr>
            <w:tcW w:w="1985" w:type="dxa"/>
          </w:tcPr>
          <w:p w14:paraId="417B3A12" w14:textId="4E6D7EC5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701" w:type="dxa"/>
          </w:tcPr>
          <w:p w14:paraId="2F6F9E14" w14:textId="59A5189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bejlomorka maková, krytonosec makovicový</w:t>
            </w:r>
          </w:p>
        </w:tc>
        <w:tc>
          <w:tcPr>
            <w:tcW w:w="1275" w:type="dxa"/>
          </w:tcPr>
          <w:p w14:paraId="6810416D" w14:textId="2DAD4E9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52AADC78" w14:textId="5288114B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AEF9207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1) od: 71 BBCH, do: 89 BBCH</w:t>
            </w:r>
          </w:p>
          <w:p w14:paraId="7FD8DAAE" w14:textId="03C1F3FC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D4A456A" w14:textId="496F415E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5E468E1D" w14:textId="77777777" w:rsidTr="00ED4809">
        <w:tc>
          <w:tcPr>
            <w:tcW w:w="1985" w:type="dxa"/>
          </w:tcPr>
          <w:p w14:paraId="673B8902" w14:textId="6CABF83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701" w:type="dxa"/>
          </w:tcPr>
          <w:p w14:paraId="72040F3B" w14:textId="1C5EA3F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mšice, klopušky</w:t>
            </w:r>
          </w:p>
        </w:tc>
        <w:tc>
          <w:tcPr>
            <w:tcW w:w="1275" w:type="dxa"/>
          </w:tcPr>
          <w:p w14:paraId="20C92DCA" w14:textId="75C4D49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60EE72D3" w14:textId="490C5E76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7E75E7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1) od: 10 BBCH, do: 65 BBCH</w:t>
            </w:r>
          </w:p>
          <w:p w14:paraId="36B7FDB1" w14:textId="321EF12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B8C3E80" w14:textId="4C2B8C1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2979066C" w14:textId="77777777" w:rsidTr="00ED4809">
        <w:tc>
          <w:tcPr>
            <w:tcW w:w="1985" w:type="dxa"/>
          </w:tcPr>
          <w:p w14:paraId="14F7ACED" w14:textId="1B1C2528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tykev obecná</w:t>
            </w:r>
          </w:p>
        </w:tc>
        <w:tc>
          <w:tcPr>
            <w:tcW w:w="1701" w:type="dxa"/>
          </w:tcPr>
          <w:p w14:paraId="7CB1BF7C" w14:textId="21CA3EE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klopušky</w:t>
            </w:r>
          </w:p>
        </w:tc>
        <w:tc>
          <w:tcPr>
            <w:tcW w:w="1275" w:type="dxa"/>
          </w:tcPr>
          <w:p w14:paraId="4A0BEB83" w14:textId="66DB254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74" w:type="dxa"/>
          </w:tcPr>
          <w:p w14:paraId="4656D6FB" w14:textId="7A90A423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2D8DA9D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50 BBCH, do: 65 BBCH </w:t>
            </w:r>
          </w:p>
          <w:p w14:paraId="0C824596" w14:textId="74476C2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CB43C44" w14:textId="3DAA192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</w:tbl>
    <w:p w14:paraId="081DB71A" w14:textId="59BF4249" w:rsidR="0009223E" w:rsidRDefault="007103E6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103E6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sklizní.</w:t>
      </w:r>
    </w:p>
    <w:p w14:paraId="654C1BD2" w14:textId="77777777" w:rsidR="007103E6" w:rsidRDefault="007103E6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29"/>
        <w:gridCol w:w="1276"/>
        <w:gridCol w:w="1559"/>
      </w:tblGrid>
      <w:tr w:rsidR="00ED4809" w:rsidRPr="00E94849" w14:paraId="331F6993" w14:textId="77777777" w:rsidTr="00ED4809">
        <w:tc>
          <w:tcPr>
            <w:tcW w:w="4536" w:type="dxa"/>
            <w:shd w:val="clear" w:color="auto" w:fill="auto"/>
          </w:tcPr>
          <w:p w14:paraId="7A9BCA55" w14:textId="77777777" w:rsidR="00ED4809" w:rsidRPr="00E94849" w:rsidRDefault="00ED480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ED4809" w:rsidRPr="00E94849" w:rsidRDefault="00ED480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ED4809" w:rsidRPr="00E94849" w:rsidRDefault="00ED480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59" w:type="dxa"/>
            <w:shd w:val="clear" w:color="auto" w:fill="auto"/>
          </w:tcPr>
          <w:p w14:paraId="49F6EEDB" w14:textId="77777777" w:rsidR="00ED4809" w:rsidRPr="00E94849" w:rsidRDefault="00ED480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ED4809" w:rsidRPr="00ED4809" w14:paraId="5A3C2D75" w14:textId="77777777" w:rsidTr="00ED4809">
        <w:tc>
          <w:tcPr>
            <w:tcW w:w="4536" w:type="dxa"/>
          </w:tcPr>
          <w:p w14:paraId="5721FF0C" w14:textId="12686215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729" w:type="dxa"/>
          </w:tcPr>
          <w:p w14:paraId="4E42569C" w14:textId="6FDE3BDF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6201840C" w14:textId="469AF2DF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6F33B758" w14:textId="3B57D384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309595E1" w14:textId="77777777" w:rsidTr="00ED4809">
        <w:tc>
          <w:tcPr>
            <w:tcW w:w="4536" w:type="dxa"/>
          </w:tcPr>
          <w:p w14:paraId="51A8D558" w14:textId="26ECE4D9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729" w:type="dxa"/>
          </w:tcPr>
          <w:p w14:paraId="550D63C3" w14:textId="41B01E4B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7DB92506" w14:textId="014EEAAD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42CE5AAE" w14:textId="156DA6C0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00C0A013" w14:textId="77777777" w:rsidTr="00ED4809">
        <w:tc>
          <w:tcPr>
            <w:tcW w:w="4536" w:type="dxa"/>
          </w:tcPr>
          <w:p w14:paraId="75A3B353" w14:textId="407A1C7C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729" w:type="dxa"/>
          </w:tcPr>
          <w:p w14:paraId="242373A6" w14:textId="4BD2B89E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7F18662A" w14:textId="463F325E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661468AB" w14:textId="0ECA69EF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140A69AB" w14:textId="77777777" w:rsidTr="00ED4809">
        <w:tc>
          <w:tcPr>
            <w:tcW w:w="4536" w:type="dxa"/>
          </w:tcPr>
          <w:p w14:paraId="78C997D8" w14:textId="1301094E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lastRenderedPageBreak/>
              <w:t>sója</w:t>
            </w:r>
          </w:p>
        </w:tc>
        <w:tc>
          <w:tcPr>
            <w:tcW w:w="1729" w:type="dxa"/>
          </w:tcPr>
          <w:p w14:paraId="68D33A58" w14:textId="783914C7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0A723789" w14:textId="4A14207C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5AC93605" w14:textId="05D68694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05D6E8EA" w14:textId="77777777" w:rsidTr="00ED4809">
        <w:tc>
          <w:tcPr>
            <w:tcW w:w="4536" w:type="dxa"/>
          </w:tcPr>
          <w:p w14:paraId="6E84925F" w14:textId="16A46241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729" w:type="dxa"/>
          </w:tcPr>
          <w:p w14:paraId="6EF02AC3" w14:textId="07A6F3BA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0EA57C8B" w14:textId="11C31162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7DA7A427" w14:textId="2C751DE4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766550A9" w14:textId="77777777" w:rsidTr="00ED4809">
        <w:tc>
          <w:tcPr>
            <w:tcW w:w="4536" w:type="dxa"/>
          </w:tcPr>
          <w:p w14:paraId="20B21301" w14:textId="767A92F0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729" w:type="dxa"/>
          </w:tcPr>
          <w:p w14:paraId="6A8FD777" w14:textId="312EDB51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2B49E2B9" w14:textId="41ED0CFD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4C8B9BAA" w14:textId="3F4491E3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74E077DF" w14:textId="77777777" w:rsidTr="00ED4809">
        <w:tc>
          <w:tcPr>
            <w:tcW w:w="4536" w:type="dxa"/>
          </w:tcPr>
          <w:p w14:paraId="27D44DCB" w14:textId="6A6087BB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tykev obecná</w:t>
            </w:r>
          </w:p>
        </w:tc>
        <w:tc>
          <w:tcPr>
            <w:tcW w:w="1729" w:type="dxa"/>
          </w:tcPr>
          <w:p w14:paraId="16B93BE4" w14:textId="0FDF9995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5B3B56D2" w14:textId="5DC19D14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0E7E8A96" w14:textId="7EAA8CCD" w:rsidR="00ED4809" w:rsidRPr="00E94849" w:rsidRDefault="00ED4809" w:rsidP="00ED480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3CA86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9"/>
        <w:gridCol w:w="1320"/>
        <w:gridCol w:w="1247"/>
        <w:gridCol w:w="1284"/>
        <w:gridCol w:w="1190"/>
      </w:tblGrid>
      <w:tr w:rsidR="007103E6" w:rsidRPr="007103E6" w14:paraId="3CC3F474" w14:textId="77777777" w:rsidTr="005C6457">
        <w:trPr>
          <w:trHeight w:val="220"/>
          <w:jc w:val="center"/>
        </w:trPr>
        <w:tc>
          <w:tcPr>
            <w:tcW w:w="4294" w:type="dxa"/>
            <w:vMerge w:val="restart"/>
            <w:shd w:val="clear" w:color="auto" w:fill="FFFFFF"/>
            <w:vAlign w:val="center"/>
          </w:tcPr>
          <w:p w14:paraId="681D38BF" w14:textId="77777777" w:rsidR="007103E6" w:rsidRPr="007103E6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Plodina</w:t>
            </w:r>
          </w:p>
        </w:tc>
        <w:tc>
          <w:tcPr>
            <w:tcW w:w="5324" w:type="dxa"/>
            <w:gridSpan w:val="4"/>
            <w:vAlign w:val="center"/>
          </w:tcPr>
          <w:p w14:paraId="4416E109" w14:textId="77777777" w:rsidR="007103E6" w:rsidRPr="007103E6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třída omezení úletu</w:t>
            </w:r>
          </w:p>
        </w:tc>
      </w:tr>
      <w:tr w:rsidR="007103E6" w:rsidRPr="007103E6" w14:paraId="3F4BC3F0" w14:textId="77777777" w:rsidTr="005C6457">
        <w:trPr>
          <w:trHeight w:val="220"/>
          <w:jc w:val="center"/>
        </w:trPr>
        <w:tc>
          <w:tcPr>
            <w:tcW w:w="4294" w:type="dxa"/>
            <w:vMerge/>
            <w:shd w:val="clear" w:color="auto" w:fill="FFFFFF"/>
            <w:vAlign w:val="center"/>
          </w:tcPr>
          <w:p w14:paraId="4485EC58" w14:textId="77777777" w:rsidR="007103E6" w:rsidRPr="007103E6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0C8BC84" w14:textId="77777777" w:rsidR="007103E6" w:rsidRPr="007103E6" w:rsidRDefault="007103E6" w:rsidP="005C6457">
            <w:pPr>
              <w:pStyle w:val="Textvbloku"/>
              <w:ind w:left="-108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bez redukce</w:t>
            </w:r>
          </w:p>
        </w:tc>
        <w:tc>
          <w:tcPr>
            <w:tcW w:w="1327" w:type="dxa"/>
            <w:vAlign w:val="center"/>
          </w:tcPr>
          <w:p w14:paraId="0FF4F7E9" w14:textId="77777777" w:rsidR="007103E6" w:rsidRPr="007103E6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367" w:type="dxa"/>
            <w:vAlign w:val="center"/>
          </w:tcPr>
          <w:p w14:paraId="43D764F6" w14:textId="77777777" w:rsidR="007103E6" w:rsidRPr="007103E6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75 %</w:t>
            </w:r>
          </w:p>
        </w:tc>
        <w:tc>
          <w:tcPr>
            <w:tcW w:w="1264" w:type="dxa"/>
            <w:vAlign w:val="center"/>
          </w:tcPr>
          <w:p w14:paraId="3948F780" w14:textId="77777777" w:rsidR="007103E6" w:rsidRPr="007103E6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90 %</w:t>
            </w:r>
          </w:p>
        </w:tc>
      </w:tr>
      <w:tr w:rsidR="007103E6" w:rsidRPr="007103E6" w14:paraId="5AA4764E" w14:textId="77777777" w:rsidTr="005C6457">
        <w:trPr>
          <w:trHeight w:val="275"/>
          <w:jc w:val="center"/>
        </w:trPr>
        <w:tc>
          <w:tcPr>
            <w:tcW w:w="9618" w:type="dxa"/>
            <w:gridSpan w:val="5"/>
            <w:shd w:val="clear" w:color="auto" w:fill="FFFFFF"/>
            <w:vAlign w:val="center"/>
          </w:tcPr>
          <w:p w14:paraId="58A8B13E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103E6" w:rsidRPr="007103E6" w14:paraId="61F484B9" w14:textId="77777777" w:rsidTr="005C6457">
        <w:trPr>
          <w:trHeight w:val="275"/>
          <w:jc w:val="center"/>
        </w:trPr>
        <w:tc>
          <w:tcPr>
            <w:tcW w:w="4294" w:type="dxa"/>
            <w:shd w:val="clear" w:color="auto" w:fill="FFFFFF"/>
            <w:vAlign w:val="center"/>
          </w:tcPr>
          <w:p w14:paraId="725B85EB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tykev obecná</w:t>
            </w:r>
          </w:p>
        </w:tc>
        <w:tc>
          <w:tcPr>
            <w:tcW w:w="1366" w:type="dxa"/>
            <w:vAlign w:val="center"/>
          </w:tcPr>
          <w:p w14:paraId="3C2D84AD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25</w:t>
            </w:r>
          </w:p>
        </w:tc>
        <w:tc>
          <w:tcPr>
            <w:tcW w:w="1327" w:type="dxa"/>
            <w:vAlign w:val="center"/>
          </w:tcPr>
          <w:p w14:paraId="3947C7E0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12</w:t>
            </w:r>
          </w:p>
        </w:tc>
        <w:tc>
          <w:tcPr>
            <w:tcW w:w="1367" w:type="dxa"/>
            <w:vAlign w:val="center"/>
          </w:tcPr>
          <w:p w14:paraId="11CBACDA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4DB2DDD1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103E6" w:rsidRPr="007103E6" w14:paraId="12889A96" w14:textId="77777777" w:rsidTr="005C6457">
        <w:trPr>
          <w:trHeight w:val="275"/>
          <w:jc w:val="center"/>
        </w:trPr>
        <w:tc>
          <w:tcPr>
            <w:tcW w:w="4294" w:type="dxa"/>
            <w:shd w:val="clear" w:color="auto" w:fill="FFFFFF"/>
            <w:vAlign w:val="center"/>
          </w:tcPr>
          <w:p w14:paraId="7C949953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řepka olejka jarní, hořčice bílá, hořčice černá, hořčice červená, řepice olejná, mák setý, slunečnice</w:t>
            </w:r>
          </w:p>
        </w:tc>
        <w:tc>
          <w:tcPr>
            <w:tcW w:w="1366" w:type="dxa"/>
            <w:vAlign w:val="center"/>
          </w:tcPr>
          <w:p w14:paraId="6BCB0979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327" w:type="dxa"/>
            <w:vAlign w:val="center"/>
          </w:tcPr>
          <w:p w14:paraId="67375EC4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367" w:type="dxa"/>
            <w:vAlign w:val="center"/>
          </w:tcPr>
          <w:p w14:paraId="523B7020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4D495D2E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103E6" w:rsidRPr="007103E6" w14:paraId="2CB22FE7" w14:textId="77777777" w:rsidTr="005C6457">
        <w:trPr>
          <w:trHeight w:val="275"/>
          <w:jc w:val="center"/>
        </w:trPr>
        <w:tc>
          <w:tcPr>
            <w:tcW w:w="4294" w:type="dxa"/>
            <w:shd w:val="clear" w:color="auto" w:fill="FFFFFF"/>
            <w:vAlign w:val="center"/>
          </w:tcPr>
          <w:p w14:paraId="1D9F1D0C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len setý, konopí seté, sója, </w:t>
            </w:r>
          </w:p>
        </w:tc>
        <w:tc>
          <w:tcPr>
            <w:tcW w:w="1366" w:type="dxa"/>
            <w:vAlign w:val="center"/>
          </w:tcPr>
          <w:p w14:paraId="7C2A23CE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327" w:type="dxa"/>
            <w:vAlign w:val="center"/>
          </w:tcPr>
          <w:p w14:paraId="77AC9CDB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367" w:type="dxa"/>
            <w:vAlign w:val="center"/>
          </w:tcPr>
          <w:p w14:paraId="340A63B0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0D9F2098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103E6" w:rsidRPr="007103E6" w14:paraId="3805FBB1" w14:textId="77777777" w:rsidTr="005C6457">
        <w:trPr>
          <w:trHeight w:val="275"/>
          <w:jc w:val="center"/>
        </w:trPr>
        <w:tc>
          <w:tcPr>
            <w:tcW w:w="9618" w:type="dxa"/>
            <w:gridSpan w:val="5"/>
            <w:shd w:val="clear" w:color="auto" w:fill="FFFFFF"/>
            <w:vAlign w:val="center"/>
          </w:tcPr>
          <w:p w14:paraId="4AE46BBD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7103E6" w:rsidRPr="007103E6" w14:paraId="036E310D" w14:textId="77777777" w:rsidTr="005C6457">
        <w:trPr>
          <w:trHeight w:val="275"/>
          <w:jc w:val="center"/>
        </w:trPr>
        <w:tc>
          <w:tcPr>
            <w:tcW w:w="4294" w:type="dxa"/>
            <w:shd w:val="clear" w:color="auto" w:fill="FFFFFF"/>
            <w:vAlign w:val="center"/>
          </w:tcPr>
          <w:p w14:paraId="58957A75" w14:textId="77777777" w:rsidR="007103E6" w:rsidRPr="007103E6" w:rsidRDefault="007103E6" w:rsidP="007103E6">
            <w:pPr>
              <w:pStyle w:val="Textvbloku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řepka olejka jarní, hořčice bílá, hořčice černá, hořčice červená, řepice olejná, len setý, konopí seté, sója, mák setý, slunečnice, tykev obecná</w:t>
            </w:r>
          </w:p>
        </w:tc>
        <w:tc>
          <w:tcPr>
            <w:tcW w:w="1366" w:type="dxa"/>
            <w:vAlign w:val="center"/>
          </w:tcPr>
          <w:p w14:paraId="7987CD71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5</w:t>
            </w:r>
          </w:p>
        </w:tc>
        <w:tc>
          <w:tcPr>
            <w:tcW w:w="1327" w:type="dxa"/>
            <w:vAlign w:val="center"/>
          </w:tcPr>
          <w:p w14:paraId="69E15A50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367" w:type="dxa"/>
            <w:vAlign w:val="center"/>
          </w:tcPr>
          <w:p w14:paraId="0552AF6B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64" w:type="dxa"/>
            <w:vAlign w:val="center"/>
          </w:tcPr>
          <w:p w14:paraId="5020551E" w14:textId="77777777" w:rsidR="007103E6" w:rsidRPr="007103E6" w:rsidRDefault="007103E6" w:rsidP="005C6457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</w:tr>
    </w:tbl>
    <w:p w14:paraId="355C6856" w14:textId="77777777" w:rsidR="007103E6" w:rsidRDefault="007103E6" w:rsidP="007103E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8A2ACC4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Řepka olejka jarní, hořčice bílá, hořčice černá, hořčice červená, řepice olejná, mák setý, sója:</w:t>
      </w:r>
    </w:p>
    <w:p w14:paraId="13CAE633" w14:textId="77777777" w:rsid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bookmarkStart w:id="0" w:name="_Hlk147149356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&lt; 30</w:t>
      </w:r>
      <w:proofErr w:type="gramEnd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m. </w:t>
      </w:r>
    </w:p>
    <w:p w14:paraId="7F397156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bookmarkEnd w:id="0"/>
    <w:p w14:paraId="69EDE3E7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Len setý, konopí seté, slunečnice, tykev obecná:</w:t>
      </w:r>
    </w:p>
    <w:p w14:paraId="664D09A7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5C5FD629" w14:textId="77777777" w:rsidR="007103E6" w:rsidRDefault="007103E6" w:rsidP="007103E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7F9D8835" w14:textId="77777777" w:rsidR="009652D1" w:rsidRDefault="009652D1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007EE95" w14:textId="7352573E" w:rsidR="009652D1" w:rsidRPr="009652D1" w:rsidRDefault="009652D1" w:rsidP="009652D1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652D1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29E03540" w14:textId="77777777" w:rsidR="009652D1" w:rsidRPr="009652D1" w:rsidRDefault="009652D1" w:rsidP="009652D1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9652D1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iii</w:t>
      </w:r>
      <w:proofErr w:type="spellEnd"/>
      <w:r w:rsidRPr="009652D1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. Bezpečnostní opatření týkající se životního prostředí</w:t>
      </w:r>
    </w:p>
    <w:p w14:paraId="137BDD0C" w14:textId="7E3E864C" w:rsidR="00D9710B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9652D1">
        <w:rPr>
          <w:rFonts w:ascii="Times New Roman" w:hAnsi="Times New Roman"/>
          <w:iCs/>
          <w:sz w:val="24"/>
          <w:szCs w:val="24"/>
        </w:rPr>
        <w:t>Spe</w:t>
      </w:r>
      <w:proofErr w:type="spellEnd"/>
      <w:r w:rsidRPr="009652D1">
        <w:rPr>
          <w:rFonts w:ascii="Times New Roman" w:hAnsi="Times New Roman"/>
          <w:iCs/>
          <w:sz w:val="24"/>
          <w:szCs w:val="24"/>
        </w:rPr>
        <w:t xml:space="preserve"> 1: Za účelem ochrany podzemní vody neaplikujte tento přípravek nebo jiný, jestliže obsahuje účinnou látku </w:t>
      </w:r>
      <w:proofErr w:type="spellStart"/>
      <w:r w:rsidRPr="009652D1">
        <w:rPr>
          <w:rFonts w:ascii="Times New Roman" w:hAnsi="Times New Roman"/>
          <w:iCs/>
          <w:sz w:val="24"/>
          <w:szCs w:val="24"/>
        </w:rPr>
        <w:t>acetamiprid</w:t>
      </w:r>
      <w:proofErr w:type="spellEnd"/>
      <w:r w:rsidRPr="009652D1">
        <w:rPr>
          <w:rFonts w:ascii="Times New Roman" w:hAnsi="Times New Roman"/>
          <w:iCs/>
          <w:sz w:val="24"/>
          <w:szCs w:val="24"/>
        </w:rPr>
        <w:t xml:space="preserve"> vícekrát než jednou za dva roky na stejném pozemku při aplikaci do sóje a slunečnice.</w:t>
      </w:r>
    </w:p>
    <w:p w14:paraId="06A8C30B" w14:textId="77777777" w:rsidR="009652D1" w:rsidRPr="004F7FF6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DEFF4D0" w14:textId="585A7489" w:rsidR="00D01517" w:rsidRDefault="009652D1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9652D1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vody</w:t>
      </w:r>
      <w:r w:rsidR="007103E6" w:rsidRPr="007103E6">
        <w:t xml:space="preserve"> </w:t>
      </w:r>
      <w:r w:rsidR="007103E6" w:rsidRPr="0040265A">
        <w:rPr>
          <w:rFonts w:ascii="Times New Roman" w:hAnsi="Times New Roman"/>
          <w:snapToGrid w:val="0"/>
          <w:sz w:val="24"/>
          <w:szCs w:val="24"/>
        </w:rPr>
        <w:t xml:space="preserve">při </w:t>
      </w:r>
      <w:r w:rsidR="007103E6" w:rsidRPr="0040265A">
        <w:rPr>
          <w:rFonts w:ascii="Times New Roman" w:hAnsi="Times New Roman"/>
          <w:snapToGrid w:val="0"/>
          <w:sz w:val="24"/>
          <w:szCs w:val="24"/>
        </w:rPr>
        <w:lastRenderedPageBreak/>
        <w:t>aplikaci do plodin: řepka olejka jarní, hořčice bílá, hořčice černá, hořčice červená, řepice olejná, len setý, konopí seté, mák setý, tykev obecná, sója a slunečnice.</w:t>
      </w:r>
    </w:p>
    <w:p w14:paraId="055A485F" w14:textId="77777777" w:rsidR="007103E6" w:rsidRPr="007103E6" w:rsidRDefault="007103E6" w:rsidP="007103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3E6">
        <w:rPr>
          <w:rFonts w:ascii="Times New Roman" w:hAnsi="Times New Roman"/>
          <w:snapToGrid w:val="0"/>
          <w:sz w:val="24"/>
          <w:szCs w:val="24"/>
        </w:rPr>
        <w:t>Nebezpečný pro včely.</w:t>
      </w:r>
    </w:p>
    <w:p w14:paraId="1FF6576E" w14:textId="7397204D" w:rsidR="007103E6" w:rsidRDefault="007103E6" w:rsidP="007103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3E6">
        <w:rPr>
          <w:rFonts w:ascii="Times New Roman" w:hAnsi="Times New Roman"/>
          <w:snapToGrid w:val="0"/>
          <w:sz w:val="24"/>
          <w:szCs w:val="24"/>
        </w:rPr>
        <w:t>Přípravek smí být aplikován na porost navštěvovaný včelami pouze po ukončení denního letu včel, a to nejpozději do dvacáté třetí hodiny příslušného dne.</w:t>
      </w:r>
    </w:p>
    <w:p w14:paraId="50B89507" w14:textId="77777777" w:rsidR="009652D1" w:rsidRPr="00AD0D1A" w:rsidRDefault="009652D1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FC23FEA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ED4809">
        <w:rPr>
          <w:rFonts w:ascii="Times New Roman" w:hAnsi="Times New Roman"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200 SL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D4809">
        <w:rPr>
          <w:rFonts w:ascii="Times New Roman" w:hAnsi="Times New Roman"/>
          <w:sz w:val="24"/>
          <w:szCs w:val="24"/>
        </w:rPr>
        <w:t>6072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57BAAB6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ED4809">
        <w:rPr>
          <w:rFonts w:ascii="Times New Roman" w:hAnsi="Times New Roman"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200 SL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61FF6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EA02" w14:textId="77777777" w:rsidR="00F9728C" w:rsidRDefault="00F9728C" w:rsidP="00CE12AE">
      <w:pPr>
        <w:spacing w:after="0" w:line="240" w:lineRule="auto"/>
      </w:pPr>
      <w:r>
        <w:separator/>
      </w:r>
    </w:p>
  </w:endnote>
  <w:endnote w:type="continuationSeparator" w:id="0">
    <w:p w14:paraId="0F68802D" w14:textId="77777777" w:rsidR="00F9728C" w:rsidRDefault="00F9728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6EB2" w14:textId="77777777" w:rsidR="00F9728C" w:rsidRDefault="00F9728C" w:rsidP="00CE12AE">
      <w:pPr>
        <w:spacing w:after="0" w:line="240" w:lineRule="auto"/>
      </w:pPr>
      <w:r>
        <w:separator/>
      </w:r>
    </w:p>
  </w:footnote>
  <w:footnote w:type="continuationSeparator" w:id="0">
    <w:p w14:paraId="200937B6" w14:textId="77777777" w:rsidR="00F9728C" w:rsidRDefault="00F9728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0B8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265A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6DC1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3A58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3E6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196D"/>
    <w:rsid w:val="00933D02"/>
    <w:rsid w:val="009340CB"/>
    <w:rsid w:val="00934311"/>
    <w:rsid w:val="00935B37"/>
    <w:rsid w:val="00940529"/>
    <w:rsid w:val="00941272"/>
    <w:rsid w:val="00957802"/>
    <w:rsid w:val="009615A4"/>
    <w:rsid w:val="009652D1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D07AB"/>
    <w:rsid w:val="00ED1C99"/>
    <w:rsid w:val="00ED480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728C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4809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4809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978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6737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2022-06-23T06:30:00Z</cp:lastPrinted>
  <dcterms:created xsi:type="dcterms:W3CDTF">2024-04-24T07:53:00Z</dcterms:created>
  <dcterms:modified xsi:type="dcterms:W3CDTF">2024-05-03T06:14:00Z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