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22389DF0" w14:textId="77777777" w:rsidR="000E535F" w:rsidRDefault="000E535F">
      <w:pPr>
        <w:tabs>
          <w:tab w:val="start" w:pos="318.90pt"/>
        </w:tabs>
        <w:spacing w:after="0pt" w:line="13.20pt" w:lineRule="auto"/>
        <w:jc w:val="center"/>
        <w:rPr>
          <w:rFonts w:eastAsia="Times New Roman"/>
          <w:b/>
          <w:lang w:eastAsia="cs-CZ"/>
        </w:rPr>
      </w:pPr>
    </w:p>
    <w:p w14:paraId="710FC14C" w14:textId="77777777" w:rsidR="000E535F" w:rsidRDefault="00000000">
      <w:pPr>
        <w:tabs>
          <w:tab w:val="start" w:pos="318.90pt"/>
        </w:tabs>
        <w:spacing w:after="0pt" w:line="13.20pt" w:lineRule="auto"/>
        <w:jc w:val="center"/>
        <w:rPr>
          <w:rFonts w:eastAsia="Times New Roman"/>
          <w:b/>
          <w:sz w:val="26"/>
          <w:szCs w:val="26"/>
          <w:lang w:eastAsia="cs-CZ"/>
        </w:rPr>
      </w:pPr>
      <w:r>
        <w:rPr>
          <w:rFonts w:eastAsia="Times New Roman"/>
          <w:b/>
          <w:sz w:val="26"/>
          <w:szCs w:val="26"/>
          <w:lang w:eastAsia="cs-CZ"/>
        </w:rPr>
        <w:t>Nařízení města Brandýs nad Labem-Stará Boleslav</w:t>
      </w:r>
    </w:p>
    <w:p w14:paraId="04777AE5" w14:textId="77777777" w:rsidR="000E535F" w:rsidRDefault="00000000">
      <w:pPr>
        <w:tabs>
          <w:tab w:val="start" w:pos="318.90pt"/>
        </w:tabs>
        <w:spacing w:after="0pt" w:line="13.20pt" w:lineRule="auto"/>
        <w:jc w:val="center"/>
      </w:pPr>
      <w:r>
        <w:rPr>
          <w:rFonts w:eastAsia="Times New Roman"/>
          <w:b/>
          <w:sz w:val="26"/>
          <w:szCs w:val="26"/>
          <w:lang w:eastAsia="cs-CZ"/>
        </w:rPr>
        <w:t>o zimní údržbě komunikací</w:t>
      </w:r>
      <w:r>
        <w:rPr>
          <w:rFonts w:eastAsia="Times New Roman"/>
          <w:b/>
          <w:color w:val="FF0000"/>
          <w:sz w:val="26"/>
          <w:szCs w:val="26"/>
          <w:lang w:eastAsia="cs-CZ"/>
        </w:rPr>
        <w:t xml:space="preserve"> </w:t>
      </w:r>
    </w:p>
    <w:p w14:paraId="76B26773" w14:textId="77777777" w:rsidR="000E535F" w:rsidRDefault="000E535F">
      <w:pPr>
        <w:spacing w:after="0pt" w:line="13.20pt" w:lineRule="auto"/>
        <w:jc w:val="both"/>
        <w:rPr>
          <w:rFonts w:cs="Calibri"/>
        </w:rPr>
      </w:pPr>
    </w:p>
    <w:p w14:paraId="353792D3" w14:textId="77777777" w:rsidR="000E535F" w:rsidRDefault="00000000">
      <w:pPr>
        <w:spacing w:after="0pt" w:line="13.20pt" w:lineRule="auto"/>
        <w:jc w:val="both"/>
      </w:pPr>
      <w:r>
        <w:rPr>
          <w:rFonts w:cs="Calibri"/>
        </w:rPr>
        <w:t xml:space="preserve">Rada města Brandýs nad Labem-Stará Boleslav se na svém 116. zasedání dne 27.2.2025 usnesením č. RM/2025/116/2 usnesla vydat na základě ustanovení § 27 </w:t>
      </w:r>
      <w:r>
        <w:t xml:space="preserve">odst. 5 a 6 zákona č. 13/1997 Sb., o pozemních komunikacích, </w:t>
      </w:r>
      <w:r>
        <w:rPr>
          <w:rFonts w:cs="Calibri"/>
        </w:rPr>
        <w:t xml:space="preserve">ve znění pozdějších předpisů, a v souladu s § 11 odst. 1 a § 102 odst. 2 písm. d) zákona č. 128/2000 Sb., o obcích (obecní zřízení), ve znění pozdějších předpisů, toto Nařízení o </w:t>
      </w:r>
      <w:r>
        <w:rPr>
          <w:color w:val="443B2D"/>
          <w:w w:val="105%"/>
        </w:rPr>
        <w:t>zabezpečeni schůdnosti chodníků, místních komunikací a průjezdních úseků silnic na území města Brandýs nad Labem</w:t>
      </w:r>
      <w:r>
        <w:rPr>
          <w:color w:val="564F42"/>
          <w:w w:val="105%"/>
        </w:rPr>
        <w:t>-</w:t>
      </w:r>
      <w:r>
        <w:rPr>
          <w:color w:val="443B2D"/>
          <w:w w:val="105%"/>
        </w:rPr>
        <w:t xml:space="preserve">Stará Boleslav a o vymezení úseků místních komunikací a chodníků na území města Brandýs nad </w:t>
      </w:r>
      <w:r>
        <w:rPr>
          <w:color w:val="564F42"/>
          <w:w w:val="105%"/>
        </w:rPr>
        <w:t>Labem</w:t>
      </w:r>
      <w:r>
        <w:rPr>
          <w:color w:val="546234"/>
          <w:w w:val="105%"/>
        </w:rPr>
        <w:t>-</w:t>
      </w:r>
      <w:r>
        <w:rPr>
          <w:color w:val="443B2D"/>
          <w:w w:val="105%"/>
        </w:rPr>
        <w:t xml:space="preserve">Stará </w:t>
      </w:r>
      <w:r>
        <w:rPr>
          <w:color w:val="443B2D"/>
          <w:spacing w:val="-5"/>
          <w:w w:val="105%"/>
        </w:rPr>
        <w:t>Boleslav</w:t>
      </w:r>
      <w:r>
        <w:rPr>
          <w:color w:val="645E52"/>
          <w:spacing w:val="-5"/>
          <w:w w:val="105%"/>
        </w:rPr>
        <w:t xml:space="preserve">, </w:t>
      </w:r>
      <w:r>
        <w:rPr>
          <w:color w:val="443B2D"/>
          <w:w w:val="105%"/>
        </w:rPr>
        <w:t xml:space="preserve">na kterých se pro jejich malý dopravní </w:t>
      </w:r>
      <w:r>
        <w:rPr>
          <w:color w:val="443B2D"/>
          <w:w w:val="105%"/>
          <w:sz w:val="23"/>
        </w:rPr>
        <w:t xml:space="preserve">význam </w:t>
      </w:r>
      <w:r>
        <w:rPr>
          <w:color w:val="443B2D"/>
          <w:w w:val="105%"/>
        </w:rPr>
        <w:t xml:space="preserve">nezajišťuje sjízdnost </w:t>
      </w:r>
      <w:r>
        <w:rPr>
          <w:color w:val="564F42"/>
          <w:w w:val="105%"/>
        </w:rPr>
        <w:t>a</w:t>
      </w:r>
      <w:r>
        <w:rPr>
          <w:color w:val="443B2D"/>
          <w:w w:val="105%"/>
        </w:rPr>
        <w:t xml:space="preserve"> schůdnost </w:t>
      </w:r>
      <w:r>
        <w:rPr>
          <w:color w:val="443B2D"/>
          <w:spacing w:val="-3"/>
          <w:w w:val="105%"/>
        </w:rPr>
        <w:t>odstraňováním</w:t>
      </w:r>
      <w:r>
        <w:rPr>
          <w:color w:val="ACAA9A"/>
          <w:spacing w:val="-3"/>
          <w:w w:val="105%"/>
        </w:rPr>
        <w:t xml:space="preserve"> </w:t>
      </w:r>
      <w:r>
        <w:rPr>
          <w:color w:val="443B2D"/>
          <w:w w:val="105%"/>
        </w:rPr>
        <w:t xml:space="preserve">sněhu a náledí </w:t>
      </w:r>
      <w:r>
        <w:rPr>
          <w:color w:val="564F42"/>
          <w:w w:val="105%"/>
        </w:rPr>
        <w:t>(</w:t>
      </w:r>
      <w:r>
        <w:rPr>
          <w:color w:val="443B2D"/>
          <w:w w:val="105%"/>
        </w:rPr>
        <w:t>nařízeni o zimní</w:t>
      </w:r>
      <w:r>
        <w:rPr>
          <w:color w:val="443B2D"/>
          <w:w w:val="105%"/>
          <w:sz w:val="25"/>
        </w:rPr>
        <w:t xml:space="preserve"> </w:t>
      </w:r>
      <w:r>
        <w:rPr>
          <w:color w:val="443B2D"/>
          <w:w w:val="105%"/>
        </w:rPr>
        <w:t xml:space="preserve">údržbě </w:t>
      </w:r>
      <w:r>
        <w:rPr>
          <w:color w:val="443B2D"/>
          <w:spacing w:val="-3"/>
          <w:w w:val="105%"/>
        </w:rPr>
        <w:t>komunikací)</w:t>
      </w:r>
      <w:r>
        <w:rPr>
          <w:color w:val="645E52"/>
          <w:spacing w:val="-3"/>
          <w:w w:val="105%"/>
        </w:rPr>
        <w:t xml:space="preserve">, </w:t>
      </w:r>
      <w:r>
        <w:rPr>
          <w:color w:val="443B2D"/>
          <w:w w:val="105%"/>
        </w:rPr>
        <w:t xml:space="preserve">dále </w:t>
      </w:r>
      <w:r>
        <w:rPr>
          <w:color w:val="645E52"/>
          <w:spacing w:val="2"/>
          <w:w w:val="105%"/>
        </w:rPr>
        <w:t>j</w:t>
      </w:r>
      <w:r>
        <w:rPr>
          <w:color w:val="443B2D"/>
          <w:spacing w:val="2"/>
          <w:w w:val="105%"/>
        </w:rPr>
        <w:t xml:space="preserve">en </w:t>
      </w:r>
      <w:r>
        <w:rPr>
          <w:color w:val="443B2D"/>
          <w:w w:val="105%"/>
        </w:rPr>
        <w:t>nařízení:</w:t>
      </w:r>
      <w:r>
        <w:rPr>
          <w:rFonts w:cs="Calibri"/>
        </w:rPr>
        <w:t>:</w:t>
      </w:r>
    </w:p>
    <w:p w14:paraId="30087FCC" w14:textId="77777777" w:rsidR="000E535F" w:rsidRDefault="000E535F">
      <w:pPr>
        <w:spacing w:after="0pt" w:line="13.20pt" w:lineRule="auto"/>
        <w:jc w:val="both"/>
        <w:rPr>
          <w:rFonts w:cs="Calibri"/>
        </w:rPr>
      </w:pPr>
    </w:p>
    <w:p w14:paraId="511B721A" w14:textId="77777777" w:rsidR="000E535F" w:rsidRDefault="00000000">
      <w:pPr>
        <w:pStyle w:val="Nadpis2"/>
        <w:spacing w:line="13.20pt" w:lineRule="auto"/>
        <w:jc w:val="center"/>
        <w:rPr>
          <w:rFonts w:ascii="Calibri" w:hAnsi="Calibri" w:cs="Calibri"/>
          <w:b/>
          <w:sz w:val="22"/>
          <w:szCs w:val="22"/>
          <w:u w:val="none"/>
        </w:rPr>
      </w:pPr>
      <w:r>
        <w:rPr>
          <w:rFonts w:ascii="Calibri" w:hAnsi="Calibri" w:cs="Calibri"/>
          <w:b/>
          <w:sz w:val="22"/>
          <w:szCs w:val="22"/>
          <w:u w:val="none"/>
        </w:rPr>
        <w:t>Článek 1</w:t>
      </w:r>
    </w:p>
    <w:p w14:paraId="24F523BE" w14:textId="77777777" w:rsidR="000E535F" w:rsidRDefault="00000000">
      <w:pPr>
        <w:spacing w:after="6pt" w:line="13.20pt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Základní ustanovení</w:t>
      </w:r>
    </w:p>
    <w:p w14:paraId="6B68F0C2" w14:textId="77777777" w:rsidR="000E535F" w:rsidRDefault="00000000">
      <w:pPr>
        <w:spacing w:after="0pt" w:line="13.20pt" w:lineRule="auto"/>
        <w:jc w:val="both"/>
      </w:pPr>
      <w:r>
        <w:rPr>
          <w:rFonts w:cs="Calibri"/>
        </w:rPr>
        <w:t>Toto nařízení stanoví rozsah, způsob a lhůty odstraňování závad ve schůdnosti chodníků,</w:t>
      </w:r>
      <w:r>
        <w:rPr>
          <w:rFonts w:cs="Calibri"/>
          <w:noProof/>
        </w:rPr>
        <w:drawing>
          <wp:anchor distT="0" distB="0" distL="114300" distR="114300" simplePos="0" relativeHeight="251659264" behindDoc="1" locked="0" layoutInCell="1" allowOverlap="1" wp14:anchorId="3A2AABE4" wp14:editId="12111D9A">
            <wp:simplePos x="0" y="0"/>
            <wp:positionH relativeFrom="page">
              <wp:posOffset>3557902</wp:posOffset>
            </wp:positionH>
            <wp:positionV relativeFrom="paragraph">
              <wp:posOffset>59692</wp:posOffset>
            </wp:positionV>
            <wp:extent cx="35561" cy="121286"/>
            <wp:effectExtent l="0" t="0" r="2539" b="12064"/>
            <wp:wrapNone/>
            <wp:docPr id="1897335887" name="Text Box 20"/>
            <wp:cNvGraphicFramePr/>
            <a:graphic xmlns:a="http://purl.oclc.org/ooxml/drawingml/main">
              <a:graphicData uri="http://schemas.microsoft.com/office/word/2010/wordprocessingShape">
                <wp:wsp>
                  <wp:cNvSpPr txBox="1"/>
                  <wp:spPr>
                    <a:xfrm>
                      <a:off x="0" y="0"/>
                      <a:ext cx="35561" cy="12128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wp:spPr>
                  <wp:txbx>
                    <wne:txbxContent>
                      <w:p w14:paraId="2DFDF7E8" w14:textId="77777777" w:rsidR="000E535F" w:rsidRDefault="00000000">
                        <w:pPr>
                          <w:spacing w:line="9.50pt" w:lineRule="exact"/>
                        </w:pPr>
                        <w:r>
                          <w:rPr>
                            <w:rFonts w:ascii="Arial" w:hAnsi="Arial"/>
                            <w:color w:val="443B2D"/>
                            <w:w w:val="56%"/>
                            <w:sz w:val="17"/>
                          </w:rPr>
                          <w:t>&gt;</w:t>
                        </w:r>
                      </w:p>
                    </wne:txbxContent>
                  </wp:txbx>
                  <wp:bodyPr vert="horz" wrap="square" lIns="0" tIns="0" rIns="0" bIns="0" anchor="t" anchorCtr="0" compatLnSpc="0">
                    <a:noAutofit/>
                  </wp:bodyPr>
                </wp:wsp>
              </a:graphicData>
            </a:graphic>
          </wp:anchor>
        </w:drawing>
      </w:r>
      <w:r>
        <w:rPr>
          <w:rFonts w:cs="Calibri"/>
        </w:rPr>
        <w:t xml:space="preserve"> místních komutací a průjezdních úseků silnic na území města Brandýs nad Labem-Stará Boleslav způsobených povětrnostními vlivy. Dále toto nařízení vymezuje úseky místních komunikací a chodníků na území města Brandýs nad Labem-Stará Boleslav, na kterých se pro jejich malý dopravní význam nezajišťuje sjízdnost a schůdnost odstraňováním sněhu a náledí.</w:t>
      </w:r>
    </w:p>
    <w:p w14:paraId="33E94048" w14:textId="77777777" w:rsidR="000E535F" w:rsidRDefault="000E535F">
      <w:pPr>
        <w:pStyle w:val="Zkladntext"/>
        <w:spacing w:after="0pt" w:line="13.20pt" w:lineRule="auto"/>
        <w:ind w:end="31.40pt" w:hanging="0.15pt"/>
        <w:jc w:val="both"/>
        <w:rPr>
          <w:rFonts w:ascii="Calibri" w:hAnsi="Calibri" w:cs="Calibri"/>
          <w:sz w:val="22"/>
          <w:szCs w:val="22"/>
        </w:rPr>
      </w:pPr>
    </w:p>
    <w:p w14:paraId="1653E319" w14:textId="77777777" w:rsidR="000E535F" w:rsidRDefault="00000000">
      <w:pPr>
        <w:pStyle w:val="Nadpis2"/>
        <w:spacing w:line="13.20pt" w:lineRule="auto"/>
        <w:jc w:val="center"/>
        <w:rPr>
          <w:rFonts w:ascii="Calibri" w:hAnsi="Calibri" w:cs="Calibri"/>
          <w:b/>
          <w:sz w:val="22"/>
          <w:szCs w:val="22"/>
          <w:u w:val="none"/>
        </w:rPr>
      </w:pPr>
      <w:r>
        <w:rPr>
          <w:rFonts w:ascii="Calibri" w:hAnsi="Calibri" w:cs="Calibri"/>
          <w:b/>
          <w:sz w:val="22"/>
          <w:szCs w:val="22"/>
          <w:u w:val="none"/>
        </w:rPr>
        <w:t>Článek 2</w:t>
      </w:r>
    </w:p>
    <w:p w14:paraId="2B3C00DD" w14:textId="77777777" w:rsidR="000E535F" w:rsidRDefault="00000000">
      <w:pPr>
        <w:spacing w:after="6pt" w:line="13.20pt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Vymezení pojmů</w:t>
      </w:r>
    </w:p>
    <w:p w14:paraId="37F9DC67" w14:textId="1DE99754" w:rsidR="000E535F" w:rsidRDefault="00000000">
      <w:pPr>
        <w:pStyle w:val="Odstavecseseznamem"/>
        <w:widowControl w:val="0"/>
        <w:numPr>
          <w:ilvl w:val="0"/>
          <w:numId w:val="1"/>
        </w:numPr>
        <w:tabs>
          <w:tab w:val="start" w:pos="23.70pt"/>
        </w:tabs>
        <w:autoSpaceDE w:val="0"/>
        <w:spacing w:after="6pt" w:line="13.20pt" w:lineRule="auto"/>
        <w:ind w:start="35.45pt" w:hanging="17.85pt"/>
        <w:jc w:val="both"/>
        <w:rPr>
          <w:rFonts w:cs="Calibri"/>
        </w:rPr>
      </w:pPr>
      <w:r>
        <w:rPr>
          <w:rFonts w:cs="Calibri"/>
        </w:rPr>
        <w:t>Území města Brandýs nad Labem-Stará Boleslav – území města Brandýs nad Labem</w:t>
      </w:r>
      <w:r>
        <w:rPr>
          <w:rFonts w:cs="Calibri"/>
        </w:rPr>
        <w:softHyphen/>
      </w:r>
      <w:r w:rsidR="00CE25FC">
        <w:rPr>
          <w:rFonts w:cs="Calibri"/>
        </w:rPr>
        <w:t>-</w:t>
      </w:r>
      <w:r>
        <w:rPr>
          <w:rFonts w:cs="Calibri"/>
        </w:rPr>
        <w:t>Stará Boleslav tvoří katastrální území Brandýs nad Labem, Stará Boleslav a Popovice u Brandýsa nad Labem.</w:t>
      </w:r>
    </w:p>
    <w:p w14:paraId="07892527" w14:textId="77777777" w:rsidR="000E535F" w:rsidRDefault="00000000">
      <w:pPr>
        <w:pStyle w:val="Odstavecseseznamem"/>
        <w:widowControl w:val="0"/>
        <w:numPr>
          <w:ilvl w:val="0"/>
          <w:numId w:val="1"/>
        </w:numPr>
        <w:tabs>
          <w:tab w:val="start" w:pos="23.70pt"/>
        </w:tabs>
        <w:autoSpaceDE w:val="0"/>
        <w:spacing w:after="6pt" w:line="13.20pt" w:lineRule="auto"/>
        <w:ind w:start="35.70pt" w:hanging="17.85pt"/>
        <w:jc w:val="both"/>
        <w:rPr>
          <w:rFonts w:cs="Calibri"/>
        </w:rPr>
      </w:pPr>
      <w:r>
        <w:rPr>
          <w:rFonts w:cs="Calibri"/>
        </w:rPr>
        <w:t>Závada ve schůdnosti – pod pojmem závada ve schůdnosti se pro účely tohoto nařízení rozumí závada ve schůdnosti) chodníku způsobená povětrnostními vlivy.</w:t>
      </w:r>
    </w:p>
    <w:p w14:paraId="3362F274" w14:textId="77777777" w:rsidR="000E535F" w:rsidRDefault="00000000">
      <w:pPr>
        <w:pStyle w:val="Odstavecseseznamem"/>
        <w:widowControl w:val="0"/>
        <w:numPr>
          <w:ilvl w:val="0"/>
          <w:numId w:val="1"/>
        </w:numPr>
        <w:tabs>
          <w:tab w:val="start" w:pos="23.70pt"/>
        </w:tabs>
        <w:autoSpaceDE w:val="0"/>
        <w:spacing w:after="6pt" w:line="13.20pt" w:lineRule="auto"/>
        <w:ind w:start="35.70pt" w:hanging="17.85pt"/>
        <w:jc w:val="both"/>
      </w:pPr>
      <w:r>
        <w:rPr>
          <w:rFonts w:cs="Calibri"/>
          <w:noProof/>
        </w:rPr>
        <w:drawing>
          <wp:anchor distT="0" distB="0" distL="114300" distR="114300" simplePos="0" relativeHeight="251661312" behindDoc="0" locked="0" layoutInCell="1" allowOverlap="1" wp14:anchorId="35A95345" wp14:editId="3BEC4BFE">
            <wp:simplePos x="0" y="0"/>
            <wp:positionH relativeFrom="page">
              <wp:posOffset>6348093</wp:posOffset>
            </wp:positionH>
            <wp:positionV relativeFrom="paragraph">
              <wp:posOffset>42547</wp:posOffset>
            </wp:positionV>
            <wp:extent cx="0" cy="188595"/>
            <wp:effectExtent l="0" t="0" r="38100" b="20955"/>
            <wp:wrapNone/>
            <wp:docPr id="131536502" name="Line 19"/>
            <wp:cNvGraphicFramePr/>
            <a:graphic xmlns:a="http://purl.oclc.org/ooxml/drawingml/main">
              <a:graphicData uri="http://schemas.microsoft.com/office/word/2010/wordprocessingShape">
                <wp:wsp>
                  <wp:cNvCnPr/>
                  <wp:spPr>
                    <a:xfrm>
                      <a:off x="0" y="0"/>
                      <a:ext cx="0" cy="188595"/>
                    </a:xfrm>
                    <a:prstGeom prst="straightConnector1">
                      <a:avLst/>
                    </a:prstGeom>
                    <a:noFill/>
                    <a:ln w="9162" cap="flat">
                      <a:solidFill>
                        <a:srgbClr val="D8D8CD"/>
                      </a:solidFill>
                      <a:prstDash val="solid"/>
                      <a:round/>
                    </a:ln>
                  </wp:spPr>
                  <wp:bodyPr/>
                </wp:wsp>
              </a:graphicData>
            </a:graphic>
          </wp:anchor>
        </w:drawing>
      </w:r>
      <w:r>
        <w:rPr>
          <w:rFonts w:cs="Calibri"/>
        </w:rPr>
        <w:t>Závada ve sjízdnosti – pod pojmem závada ve sjízdnosti se pro účely tohoto nařízení. rozumí závada ve sjízdnosti místní komunikace nebo průjezdného úseku silnice způsobená. povětrnostními vlivy.</w:t>
      </w:r>
    </w:p>
    <w:p w14:paraId="75FC2933" w14:textId="77777777" w:rsidR="000E535F" w:rsidRDefault="00000000">
      <w:pPr>
        <w:pStyle w:val="Odstavecseseznamem"/>
        <w:widowControl w:val="0"/>
        <w:numPr>
          <w:ilvl w:val="0"/>
          <w:numId w:val="1"/>
        </w:numPr>
        <w:tabs>
          <w:tab w:val="start" w:pos="23.70pt"/>
        </w:tabs>
        <w:autoSpaceDE w:val="0"/>
        <w:spacing w:after="6pt" w:line="13.20pt" w:lineRule="auto"/>
        <w:ind w:start="35.70pt" w:hanging="17.85pt"/>
        <w:jc w:val="both"/>
        <w:rPr>
          <w:rFonts w:cs="Calibri"/>
        </w:rPr>
      </w:pPr>
      <w:r>
        <w:rPr>
          <w:rFonts w:cs="Calibri"/>
        </w:rPr>
        <w:t>Chodník – za chodník se pro účely tohoto nařízení považuji chodníky, které jsou součástmi průjezdních úseků silnic a chodníky, které jsou součástmi místních komunikací I., II. a III. třídy a chodníky, které jsou samostatnými místními komunikacemi IV. třídy.</w:t>
      </w:r>
    </w:p>
    <w:p w14:paraId="65C57A4B" w14:textId="77777777" w:rsidR="000E535F" w:rsidRDefault="00000000">
      <w:pPr>
        <w:pStyle w:val="Odstavecseseznamem"/>
        <w:widowControl w:val="0"/>
        <w:numPr>
          <w:ilvl w:val="0"/>
          <w:numId w:val="1"/>
        </w:numPr>
        <w:tabs>
          <w:tab w:val="start" w:pos="23.70pt"/>
        </w:tabs>
        <w:autoSpaceDE w:val="0"/>
        <w:spacing w:after="0pt" w:line="13.20pt" w:lineRule="auto"/>
        <w:ind w:start="35.70pt" w:hanging="17.85pt"/>
        <w:jc w:val="both"/>
        <w:rPr>
          <w:rFonts w:cs="Calibri"/>
        </w:rPr>
      </w:pPr>
      <w:r>
        <w:rPr>
          <w:rFonts w:cs="Calibri"/>
        </w:rPr>
        <w:t>Povětrnostní vlivy – pod pojmem povětrnostní vlivy se pro účely tohoto nařízení rozumí klimatické podmínky, které způsobuji závady ve schůdnosti, a to zejména sněžení, namrzající déšť, námraza a jejich důsledky.</w:t>
      </w:r>
    </w:p>
    <w:p w14:paraId="63F17752" w14:textId="77777777" w:rsidR="000E535F" w:rsidRDefault="000E535F">
      <w:pPr>
        <w:pStyle w:val="Zkladntext"/>
        <w:spacing w:after="0pt" w:line="13.20pt" w:lineRule="auto"/>
        <w:rPr>
          <w:rFonts w:ascii="Calibri" w:hAnsi="Calibri" w:cs="Calibri"/>
          <w:sz w:val="22"/>
          <w:szCs w:val="22"/>
        </w:rPr>
      </w:pPr>
    </w:p>
    <w:p w14:paraId="417B6A18" w14:textId="77777777" w:rsidR="000E535F" w:rsidRDefault="000E535F">
      <w:pPr>
        <w:pStyle w:val="Zkladntext"/>
        <w:spacing w:after="0pt" w:line="13.20pt" w:lineRule="auto"/>
        <w:rPr>
          <w:rFonts w:ascii="Calibri" w:hAnsi="Calibri" w:cs="Calibri"/>
          <w:sz w:val="22"/>
          <w:szCs w:val="22"/>
        </w:rPr>
      </w:pPr>
    </w:p>
    <w:p w14:paraId="36A1E460" w14:textId="77777777" w:rsidR="000E535F" w:rsidRDefault="000E535F">
      <w:pPr>
        <w:pStyle w:val="Nadpis2"/>
        <w:spacing w:line="13.20pt" w:lineRule="auto"/>
        <w:ind w:end="7.05pt"/>
        <w:jc w:val="center"/>
        <w:rPr>
          <w:rFonts w:ascii="Calibri" w:hAnsi="Calibri" w:cs="Calibri"/>
          <w:b/>
          <w:sz w:val="22"/>
          <w:szCs w:val="22"/>
          <w:u w:val="none"/>
        </w:rPr>
      </w:pPr>
    </w:p>
    <w:p w14:paraId="7BC2FF8D" w14:textId="77777777" w:rsidR="000E535F" w:rsidRDefault="00000000">
      <w:pPr>
        <w:pStyle w:val="Nadpis2"/>
        <w:spacing w:line="13.20pt" w:lineRule="auto"/>
        <w:ind w:end="7.05pt"/>
        <w:jc w:val="center"/>
        <w:rPr>
          <w:rFonts w:ascii="Calibri" w:hAnsi="Calibri" w:cs="Calibri"/>
          <w:b/>
          <w:sz w:val="22"/>
          <w:szCs w:val="22"/>
          <w:u w:val="none"/>
        </w:rPr>
      </w:pPr>
      <w:r>
        <w:rPr>
          <w:rFonts w:ascii="Calibri" w:hAnsi="Calibri" w:cs="Calibri"/>
          <w:b/>
          <w:sz w:val="22"/>
          <w:szCs w:val="22"/>
          <w:u w:val="none"/>
        </w:rPr>
        <w:t>Článek 3</w:t>
      </w:r>
    </w:p>
    <w:p w14:paraId="02D2CBC6" w14:textId="77777777" w:rsidR="000E535F" w:rsidRDefault="00000000">
      <w:pPr>
        <w:spacing w:after="6pt" w:line="13.20pt" w:lineRule="auto"/>
        <w:ind w:end="7.05pt"/>
        <w:jc w:val="center"/>
      </w:pPr>
      <w:r>
        <w:rPr>
          <w:rFonts w:cs="Calibri"/>
          <w:b/>
          <w:bCs/>
        </w:rPr>
        <w:t xml:space="preserve">Rozsah, způsob a lhůty </w:t>
      </w:r>
      <w:r>
        <w:rPr>
          <w:rFonts w:cs="Calibri"/>
          <w:b/>
        </w:rPr>
        <w:t>pro</w:t>
      </w:r>
      <w:r>
        <w:rPr>
          <w:rFonts w:cs="Calibri"/>
          <w:b/>
          <w:bCs/>
        </w:rPr>
        <w:t xml:space="preserve"> odstraňování závad ve schůdnosti</w:t>
      </w:r>
    </w:p>
    <w:p w14:paraId="6BE00EAB" w14:textId="77777777" w:rsidR="000E535F" w:rsidRDefault="00000000">
      <w:pPr>
        <w:pStyle w:val="Odstavecseseznamem"/>
        <w:widowControl w:val="0"/>
        <w:numPr>
          <w:ilvl w:val="0"/>
          <w:numId w:val="2"/>
        </w:numPr>
        <w:tabs>
          <w:tab w:val="start" w:pos="23.70pt"/>
        </w:tabs>
        <w:autoSpaceDE w:val="0"/>
        <w:spacing w:after="6pt" w:line="13.20pt" w:lineRule="auto"/>
        <w:jc w:val="both"/>
      </w:pPr>
      <w:r>
        <w:rPr>
          <w:rFonts w:cs="Calibri"/>
        </w:rPr>
        <w:t>Závady ve schůdnosti chodníku, místních komunikací a průjezdních úseků silnic na území města Brandýs nad Labem-Stará Boleslav) které jsou podle obecných právních</w:t>
      </w:r>
      <w:r>
        <w:rPr>
          <w:rFonts w:cs="Calibri"/>
          <w:noProof/>
        </w:rPr>
        <w:drawing>
          <wp:anchor distT="0" distB="0" distL="114300" distR="114300" simplePos="0" relativeHeight="251663360" behindDoc="1" locked="0" layoutInCell="1" allowOverlap="1" wp14:anchorId="732C2583" wp14:editId="7FA81569">
            <wp:simplePos x="0" y="0"/>
            <wp:positionH relativeFrom="page">
              <wp:posOffset>1362712</wp:posOffset>
            </wp:positionH>
            <wp:positionV relativeFrom="paragraph">
              <wp:posOffset>49533</wp:posOffset>
            </wp:positionV>
            <wp:extent cx="11430" cy="106683"/>
            <wp:effectExtent l="0" t="0" r="26670" b="7617"/>
            <wp:wrapNone/>
            <wp:docPr id="1003518077" name="Text Box 18"/>
            <wp:cNvGraphicFramePr/>
            <a:graphic xmlns:a="http://purl.oclc.org/ooxml/drawingml/main">
              <a:graphicData uri="http://schemas.microsoft.com/office/word/2010/wordprocessingShape">
                <wp:wsp>
                  <wp:cNvSpPr txBox="1"/>
                  <wp:spPr>
                    <a:xfrm>
                      <a:off x="0" y="0"/>
                      <a:ext cx="11430" cy="1066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wp:spPr>
                  <wp:txbx>
                    <wne:txbxContent>
                      <w:p w14:paraId="6F496650" w14:textId="77777777" w:rsidR="000E535F" w:rsidRDefault="00000000">
                        <w:pPr>
                          <w:spacing w:line="8.40pt" w:lineRule="exact"/>
                        </w:pPr>
                        <w:r>
                          <w:rPr>
                            <w:rFonts w:ascii="Arial" w:hAnsi="Arial"/>
                            <w:color w:val="493F31"/>
                            <w:w w:val="34%"/>
                            <w:sz w:val="15"/>
                          </w:rPr>
                          <w:t>)</w:t>
                        </w:r>
                      </w:p>
                    </wne:txbxContent>
                  </wp:txbx>
                  <wp:bodyPr vert="horz" wrap="square" lIns="0" tIns="0" rIns="0" bIns="0" anchor="t" anchorCtr="0" compatLnSpc="0">
                    <a:noAutofit/>
                  </wp:bodyPr>
                </wp:wsp>
              </a:graphicData>
            </a:graphic>
          </wp:anchor>
        </w:drawing>
      </w:r>
      <w:r>
        <w:rPr>
          <w:rFonts w:cs="Calibri"/>
        </w:rPr>
        <w:t xml:space="preserve"> předpisů přístupné chodcům, je povinen jejich vlastník v zimním období odstraňovat nebo alespoň zmírňovat </w:t>
      </w:r>
      <w:r>
        <w:rPr>
          <w:rFonts w:cs="Calibri"/>
        </w:rPr>
        <w:br/>
        <w:t xml:space="preserve">v rozsahu, způsobem a ve lhůtách stanovených plánem zimní údržby, který je přílohou tohoto nařízeni. </w:t>
      </w:r>
    </w:p>
    <w:p w14:paraId="0D9FA89E" w14:textId="77777777" w:rsidR="000E535F" w:rsidRDefault="00000000">
      <w:pPr>
        <w:pStyle w:val="Odstavecseseznamem"/>
        <w:widowControl w:val="0"/>
        <w:numPr>
          <w:ilvl w:val="0"/>
          <w:numId w:val="2"/>
        </w:numPr>
        <w:tabs>
          <w:tab w:val="start" w:pos="23.70pt"/>
        </w:tabs>
        <w:autoSpaceDE w:val="0"/>
        <w:spacing w:after="6pt" w:line="13.20pt" w:lineRule="auto"/>
        <w:ind w:start="35.70pt" w:hanging="17.85pt"/>
        <w:jc w:val="both"/>
      </w:pPr>
      <w:r>
        <w:rPr>
          <w:rFonts w:cs="Calibri"/>
          <w:noProof/>
        </w:rPr>
        <w:drawing>
          <wp:anchor distT="0" distB="0" distL="114300" distR="114300" simplePos="0" relativeHeight="251664384" behindDoc="1" locked="0" layoutInCell="1" allowOverlap="1" wp14:anchorId="6E4A630A" wp14:editId="36C66740">
            <wp:simplePos x="0" y="0"/>
            <wp:positionH relativeFrom="page">
              <wp:posOffset>2229480</wp:posOffset>
            </wp:positionH>
            <wp:positionV relativeFrom="paragraph">
              <wp:posOffset>137160</wp:posOffset>
            </wp:positionV>
            <wp:extent cx="12701" cy="106042"/>
            <wp:effectExtent l="0" t="0" r="25399" b="8258"/>
            <wp:wrapNone/>
            <wp:docPr id="749976405" name="Text Box 17"/>
            <wp:cNvGraphicFramePr/>
            <a:graphic xmlns:a="http://purl.oclc.org/ooxml/drawingml/main">
              <a:graphicData uri="http://schemas.microsoft.com/office/word/2010/wordprocessingShape">
                <wp:wsp>
                  <wp:cNvSpPr txBox="1"/>
                  <wp:spPr>
                    <a:xfrm>
                      <a:off x="0" y="0"/>
                      <a:ext cx="12701" cy="10604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wp:spPr>
                  <wp:txbx>
                    <wne:txbxContent>
                      <w:p w14:paraId="53185ED8" w14:textId="77777777" w:rsidR="000E535F" w:rsidRDefault="00000000">
                        <w:pPr>
                          <w:spacing w:line="8.30pt" w:lineRule="exact"/>
                        </w:pPr>
                        <w:r>
                          <w:rPr>
                            <w:color w:val="493F31"/>
                            <w:w w:val="39%"/>
                            <w:sz w:val="15"/>
                          </w:rPr>
                          <w:t>)</w:t>
                        </w:r>
                      </w:p>
                    </wne:txbxContent>
                  </wp:txbx>
                  <wp:bodyPr vert="horz" wrap="square" lIns="0" tIns="0" rIns="0" bIns="0" anchor="t" anchorCtr="0" compatLnSpc="0">
                    <a:noAutofit/>
                  </wp:bodyPr>
                </wp:wsp>
              </a:graphicData>
            </a:graphic>
          </wp:anchor>
        </w:drawing>
      </w:r>
      <w:r>
        <w:rPr>
          <w:rFonts w:cs="Calibri"/>
        </w:rPr>
        <w:t>Plán zimní údržby se podle odst. 1 tohoto článku zpracovává Odbor investic a správy majetku Městského úřadu Brandýs nad Labem-Stará Boleslav a schvaluje Rada města Brandýs nad Labem-Stará Boleslav.</w:t>
      </w:r>
    </w:p>
    <w:p w14:paraId="41146E92" w14:textId="77777777" w:rsidR="000E535F" w:rsidRDefault="00000000">
      <w:pPr>
        <w:pStyle w:val="Odstavecseseznamem"/>
        <w:widowControl w:val="0"/>
        <w:numPr>
          <w:ilvl w:val="0"/>
          <w:numId w:val="2"/>
        </w:numPr>
        <w:tabs>
          <w:tab w:val="start" w:pos="23.70pt"/>
        </w:tabs>
        <w:autoSpaceDE w:val="0"/>
        <w:spacing w:after="6pt" w:line="13.20pt" w:lineRule="auto"/>
        <w:ind w:start="35.70pt" w:hanging="17.85pt"/>
        <w:jc w:val="both"/>
        <w:rPr>
          <w:rFonts w:cs="Calibri"/>
        </w:rPr>
      </w:pPr>
      <w:r>
        <w:rPr>
          <w:rFonts w:cs="Calibri"/>
        </w:rPr>
        <w:t xml:space="preserve">Na úsecích místních komunikací a chodníků na území města Brandýs nad Labem-Stará Boleslav, které nejsou vymezeny v plánu zimní údržby, se pro jejich malý dopravní význam sjízdnost </w:t>
      </w:r>
      <w:r>
        <w:rPr>
          <w:rFonts w:cs="Calibri"/>
        </w:rPr>
        <w:br/>
        <w:t>a schůdnost odstraňováním sněhu a náledí nezajišťuje.</w:t>
      </w:r>
    </w:p>
    <w:p w14:paraId="47E2A138" w14:textId="77777777" w:rsidR="000E535F" w:rsidRDefault="00000000">
      <w:pPr>
        <w:pStyle w:val="Odstavecseseznamem"/>
        <w:widowControl w:val="0"/>
        <w:numPr>
          <w:ilvl w:val="0"/>
          <w:numId w:val="2"/>
        </w:numPr>
        <w:tabs>
          <w:tab w:val="start" w:pos="23.70pt"/>
        </w:tabs>
        <w:autoSpaceDE w:val="0"/>
        <w:spacing w:after="6pt" w:line="13.20pt" w:lineRule="auto"/>
        <w:ind w:start="35.70pt" w:hanging="17.85pt"/>
        <w:jc w:val="both"/>
        <w:rPr>
          <w:rFonts w:cs="Calibri"/>
        </w:rPr>
      </w:pPr>
      <w:r>
        <w:rPr>
          <w:rFonts w:cs="Calibri"/>
        </w:rPr>
        <w:t>Plněním povinností uložených tímto nařízením může vlastník komunikace smluvně pověřit jiný subjekt. Tím se ale vlastník komunikace nezbavuje svých povinností a odpovědnosti podle obecných právních předpisů.</w:t>
      </w:r>
    </w:p>
    <w:p w14:paraId="5C4FB470" w14:textId="77777777" w:rsidR="000E535F" w:rsidRDefault="00000000">
      <w:pPr>
        <w:pStyle w:val="Odstavecseseznamem"/>
        <w:widowControl w:val="0"/>
        <w:numPr>
          <w:ilvl w:val="0"/>
          <w:numId w:val="2"/>
        </w:numPr>
        <w:tabs>
          <w:tab w:val="start" w:pos="23.70pt"/>
        </w:tabs>
        <w:autoSpaceDE w:val="0"/>
        <w:spacing w:after="0pt" w:line="13.20pt" w:lineRule="auto"/>
        <w:jc w:val="both"/>
        <w:rPr>
          <w:rFonts w:cs="Calibri"/>
        </w:rPr>
      </w:pPr>
      <w:r>
        <w:rPr>
          <w:rFonts w:cs="Calibri"/>
        </w:rPr>
        <w:t>Vlastníci a uživatelé nemovitosti jsou oprávněni sami či prostřednictvím třetích osob odstraňovat či zmírňovat závady ve schůdnosti chodníků a místních komunikací na území města Brandýs nad Labem-Stará Boleslav k těmto nemovitostem přilehlých i nad rámec tohoto nařízeni, pokud tak z jakýchkoliv-důvodů uznají za hodné nebo potřebné.</w:t>
      </w:r>
    </w:p>
    <w:p w14:paraId="78CA1762" w14:textId="77777777" w:rsidR="000E535F" w:rsidRDefault="000E535F">
      <w:pPr>
        <w:pStyle w:val="Zkladntext"/>
        <w:spacing w:after="0pt" w:line="13.20pt" w:lineRule="auto"/>
        <w:jc w:val="both"/>
        <w:rPr>
          <w:rFonts w:ascii="Calibri" w:eastAsia="Calibri" w:hAnsi="Calibri" w:cs="Calibri"/>
          <w:color w:val="444944"/>
          <w:sz w:val="22"/>
          <w:szCs w:val="22"/>
          <w:lang w:eastAsia="en-US"/>
        </w:rPr>
      </w:pPr>
    </w:p>
    <w:p w14:paraId="7BEFFD9D" w14:textId="77777777" w:rsidR="000E535F" w:rsidRDefault="00000000">
      <w:pPr>
        <w:pStyle w:val="Nadpis2"/>
        <w:spacing w:line="13.20pt" w:lineRule="auto"/>
        <w:jc w:val="center"/>
      </w:pPr>
      <w:r>
        <w:rPr>
          <w:rFonts w:ascii="Calibri" w:hAnsi="Calibri" w:cs="Calibri"/>
          <w:b/>
          <w:sz w:val="22"/>
          <w:szCs w:val="22"/>
          <w:u w:val="none"/>
        </w:rPr>
        <w:t>Článek 4</w:t>
      </w:r>
    </w:p>
    <w:p w14:paraId="40E16958" w14:textId="77777777" w:rsidR="000E535F" w:rsidRDefault="00000000">
      <w:pPr>
        <w:spacing w:after="6pt" w:line="13.20pt" w:lineRule="auto"/>
        <w:jc w:val="center"/>
        <w:rPr>
          <w:rFonts w:cs="Calibri"/>
          <w:b/>
        </w:rPr>
      </w:pPr>
      <w:r>
        <w:rPr>
          <w:rFonts w:cs="Calibri"/>
          <w:b/>
        </w:rPr>
        <w:t>Sankce</w:t>
      </w:r>
    </w:p>
    <w:p w14:paraId="229331CF" w14:textId="77777777" w:rsidR="000E535F" w:rsidRDefault="00000000">
      <w:pPr>
        <w:pStyle w:val="Zkladntext"/>
        <w:spacing w:after="0pt" w:line="13.20pt" w:lineRule="auto"/>
        <w:ind w:start="7.15pt"/>
        <w:jc w:val="both"/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drawing>
          <wp:anchor distT="0" distB="0" distL="114300" distR="114300" simplePos="0" relativeHeight="251669504" behindDoc="1" locked="0" layoutInCell="1" allowOverlap="1" wp14:anchorId="7473DC63" wp14:editId="1BDAAF83">
            <wp:simplePos x="0" y="0"/>
            <wp:positionH relativeFrom="page">
              <wp:posOffset>4313553</wp:posOffset>
            </wp:positionH>
            <wp:positionV relativeFrom="paragraph">
              <wp:posOffset>-16514</wp:posOffset>
            </wp:positionV>
            <wp:extent cx="0" cy="205739"/>
            <wp:effectExtent l="0" t="0" r="38100" b="22861"/>
            <wp:wrapNone/>
            <wp:docPr id="710331457" name="Line 11"/>
            <wp:cNvGraphicFramePr/>
            <a:graphic xmlns:a="http://purl.oclc.org/ooxml/drawingml/main">
              <a:graphicData uri="http://schemas.microsoft.com/office/word/2010/wordprocessingShape">
                <wp:wsp>
                  <wp:cNvCnPr/>
                  <wp:spPr>
                    <a:xfrm>
                      <a:off x="0" y="0"/>
                      <a:ext cx="0" cy="205739"/>
                    </a:xfrm>
                    <a:prstGeom prst="straightConnector1">
                      <a:avLst/>
                    </a:prstGeom>
                    <a:noFill/>
                    <a:ln w="21369" cap="flat">
                      <a:solidFill>
                        <a:srgbClr val="D8D8CD"/>
                      </a:solidFill>
                      <a:prstDash val="solid"/>
                      <a:round/>
                    </a:ln>
                  </wp:spPr>
                  <wp:bodyPr/>
                </wp:wsp>
              </a:graphicData>
            </a:graphic>
          </wp:anchor>
        </w:drawing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Porušení tohoto nařízení bude posuzováno a postihováno jako přestupek, resp. jako správní </w:t>
      </w:r>
      <w:r>
        <w:rPr>
          <w:rFonts w:ascii="Calibri" w:hAnsi="Calibri" w:cs="Calibri"/>
          <w:sz w:val="22"/>
          <w:szCs w:val="22"/>
        </w:rPr>
        <w:t>delikt podle zvláštních předpis</w:t>
      </w:r>
      <w:r>
        <w:rPr>
          <w:rFonts w:ascii="Calibri" w:hAnsi="Calibri" w:cs="Calibri"/>
        </w:rPr>
        <w:t>ů</w:t>
      </w:r>
      <w:r>
        <w:rPr>
          <w:rFonts w:ascii="Calibri" w:hAnsi="Calibri" w:cs="Calibri"/>
          <w:sz w:val="22"/>
          <w:szCs w:val="22"/>
        </w:rPr>
        <w:t>.</w:t>
      </w:r>
    </w:p>
    <w:p w14:paraId="03EA87B4" w14:textId="77777777" w:rsidR="000E535F" w:rsidRDefault="000E535F">
      <w:pPr>
        <w:pStyle w:val="Zkladntext"/>
        <w:spacing w:after="0pt" w:line="13.20pt" w:lineRule="auto"/>
        <w:jc w:val="both"/>
        <w:rPr>
          <w:rFonts w:ascii="Calibri" w:eastAsia="Calibri" w:hAnsi="Calibri" w:cs="Calibri"/>
          <w:color w:val="444944"/>
          <w:sz w:val="22"/>
          <w:szCs w:val="22"/>
          <w:lang w:eastAsia="en-US"/>
        </w:rPr>
      </w:pPr>
    </w:p>
    <w:p w14:paraId="5764AC07" w14:textId="77777777" w:rsidR="000E535F" w:rsidRDefault="00000000">
      <w:pPr>
        <w:pStyle w:val="Nadpis2"/>
        <w:spacing w:line="13.20pt" w:lineRule="auto"/>
        <w:jc w:val="center"/>
      </w:pPr>
      <w:r>
        <w:rPr>
          <w:rFonts w:ascii="Calibri" w:hAnsi="Calibri" w:cs="Calibri"/>
          <w:b/>
          <w:sz w:val="22"/>
          <w:szCs w:val="22"/>
          <w:u w:val="none"/>
        </w:rPr>
        <w:t>Článek 5</w:t>
      </w:r>
    </w:p>
    <w:p w14:paraId="4C2865C1" w14:textId="77777777" w:rsidR="000E535F" w:rsidRDefault="00000000">
      <w:pPr>
        <w:spacing w:after="6pt" w:line="13.20pt" w:lineRule="auto"/>
        <w:jc w:val="center"/>
      </w:pPr>
      <w:r>
        <w:rPr>
          <w:rFonts w:cs="Calibri"/>
          <w:b/>
        </w:rPr>
        <w:t xml:space="preserve">Závěrečné </w:t>
      </w:r>
      <w:r>
        <w:rPr>
          <w:rFonts w:cs="Calibri"/>
          <w:b/>
          <w:bCs/>
        </w:rPr>
        <w:t>ustanovení</w:t>
      </w:r>
    </w:p>
    <w:p w14:paraId="44D47574" w14:textId="77777777" w:rsidR="000E535F" w:rsidRDefault="00000000">
      <w:pPr>
        <w:pStyle w:val="Odstavecseseznamem"/>
        <w:widowControl w:val="0"/>
        <w:numPr>
          <w:ilvl w:val="0"/>
          <w:numId w:val="3"/>
        </w:numPr>
        <w:tabs>
          <w:tab w:val="start" w:pos="22.45pt"/>
        </w:tabs>
        <w:autoSpaceDE w:val="0"/>
        <w:spacing w:after="6pt" w:line="13.20pt" w:lineRule="auto"/>
        <w:ind w:start="35.70pt" w:hanging="17.85pt"/>
        <w:jc w:val="both"/>
      </w:pPr>
      <w:r>
        <w:rPr>
          <w:rFonts w:cs="Calibri"/>
          <w:noProof/>
        </w:rPr>
        <w:drawing>
          <wp:anchor distT="0" distB="0" distL="114300" distR="114300" simplePos="0" relativeHeight="251672576" behindDoc="1" locked="0" layoutInCell="1" allowOverlap="1" wp14:anchorId="2F8BFDA5" wp14:editId="288E809B">
            <wp:simplePos x="0" y="0"/>
            <wp:positionH relativeFrom="page">
              <wp:posOffset>2418716</wp:posOffset>
            </wp:positionH>
            <wp:positionV relativeFrom="paragraph">
              <wp:posOffset>145417</wp:posOffset>
            </wp:positionV>
            <wp:extent cx="0" cy="213997"/>
            <wp:effectExtent l="0" t="0" r="38100" b="33653"/>
            <wp:wrapNone/>
            <wp:docPr id="305170842" name="Line 10"/>
            <wp:cNvGraphicFramePr/>
            <a:graphic xmlns:a="http://purl.oclc.org/ooxml/drawingml/main">
              <a:graphicData uri="http://schemas.microsoft.com/office/word/2010/wordprocessingShape">
                <wp:wsp>
                  <wp:cNvCnPr/>
                  <wp:spPr>
                    <a:xfrm>
                      <a:off x="0" y="0"/>
                      <a:ext cx="0" cy="213997"/>
                    </a:xfrm>
                    <a:prstGeom prst="straightConnector1">
                      <a:avLst/>
                    </a:prstGeom>
                    <a:noFill/>
                    <a:ln w="6108" cap="flat">
                      <a:solidFill>
                        <a:srgbClr val="D8D8CD"/>
                      </a:solidFill>
                      <a:prstDash val="solid"/>
                      <a:round/>
                    </a:ln>
                  </wp:spPr>
                  <wp:bodyPr/>
                </wp:wsp>
              </a:graphicData>
            </a:graphic>
          </wp:anchor>
        </w:drawing>
      </w:r>
      <w:r>
        <w:rPr>
          <w:rFonts w:cs="Calibri"/>
          <w:noProof/>
        </w:rPr>
        <w:drawing>
          <wp:anchor distT="0" distB="0" distL="114300" distR="114300" simplePos="0" relativeHeight="251673600" behindDoc="1" locked="0" layoutInCell="1" allowOverlap="1" wp14:anchorId="7DE86FBB" wp14:editId="59134654">
            <wp:simplePos x="0" y="0"/>
            <wp:positionH relativeFrom="page">
              <wp:posOffset>4702173</wp:posOffset>
            </wp:positionH>
            <wp:positionV relativeFrom="paragraph">
              <wp:posOffset>394965</wp:posOffset>
            </wp:positionV>
            <wp:extent cx="73023" cy="106683"/>
            <wp:effectExtent l="0" t="0" r="3177" b="7617"/>
            <wp:wrapNone/>
            <wp:docPr id="1484093915" name="Text Box 9"/>
            <wp:cNvGraphicFramePr/>
            <a:graphic xmlns:a="http://purl.oclc.org/ooxml/drawingml/main">
              <a:graphicData uri="http://schemas.microsoft.com/office/word/2010/wordprocessingShape">
                <wp:wsp>
                  <wp:cNvSpPr txBox="1"/>
                  <wp:spPr>
                    <a:xfrm>
                      <a:off x="0" y="0"/>
                      <a:ext cx="73023" cy="1066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wp:spPr>
                  <wp:txbx>
                    <wne:txbxContent>
                      <w:p w14:paraId="0F15C619" w14:textId="77777777" w:rsidR="000E535F" w:rsidRDefault="00000000">
                        <w:pPr>
                          <w:spacing w:line="8.40pt" w:lineRule="exact"/>
                        </w:pPr>
                        <w:r>
                          <w:rPr>
                            <w:rFonts w:ascii="Arial" w:hAnsi="Arial"/>
                            <w:color w:val="493F31"/>
                            <w:w w:val="85%"/>
                            <w:sz w:val="15"/>
                          </w:rPr>
                          <w:t>)_</w:t>
                        </w:r>
                      </w:p>
                    </wne:txbxContent>
                  </wp:txbx>
                  <wp:bodyPr vert="horz" wrap="square" lIns="0" tIns="0" rIns="0" bIns="0" anchor="t" anchorCtr="0" compatLnSpc="0">
                    <a:noAutofit/>
                  </wp:bodyPr>
                </wp:wsp>
              </a:graphicData>
            </a:graphic>
          </wp:anchor>
        </w:drawing>
      </w:r>
      <w:r>
        <w:rPr>
          <w:rFonts w:cs="Calibri"/>
        </w:rPr>
        <w:t>Pro odstraňováni závad ve schůdnosti. které nevznikly v důsledku povětrnostních vlivů a pro odstraňování závad ve sjízdnosti na ostatních pozemních komunikacích, než které jsou uvedeny v článku 3 tohoto nařízení platí obecné právní předpisy.</w:t>
      </w:r>
    </w:p>
    <w:p w14:paraId="25AAC2E7" w14:textId="77777777" w:rsidR="000E535F" w:rsidRDefault="00000000">
      <w:pPr>
        <w:pStyle w:val="Odstavecseseznamem"/>
        <w:widowControl w:val="0"/>
        <w:numPr>
          <w:ilvl w:val="0"/>
          <w:numId w:val="3"/>
        </w:numPr>
        <w:tabs>
          <w:tab w:val="start" w:pos="22.45pt"/>
        </w:tabs>
        <w:autoSpaceDE w:val="0"/>
        <w:spacing w:after="6pt" w:line="13.20pt" w:lineRule="auto"/>
        <w:ind w:start="35.70pt" w:hanging="17.85pt"/>
        <w:jc w:val="both"/>
        <w:rPr>
          <w:rFonts w:cs="Calibri"/>
        </w:rPr>
      </w:pPr>
      <w:r>
        <w:rPr>
          <w:rFonts w:cs="Calibri"/>
        </w:rPr>
        <w:t>Toto nařízení obsahuje Přílohu 1 – Plán zimní údržby komunikací.</w:t>
      </w:r>
    </w:p>
    <w:p w14:paraId="2303D0A4" w14:textId="77777777" w:rsidR="000E535F" w:rsidRDefault="00000000">
      <w:pPr>
        <w:pStyle w:val="Odstavecseseznamem"/>
        <w:widowControl w:val="0"/>
        <w:numPr>
          <w:ilvl w:val="0"/>
          <w:numId w:val="3"/>
        </w:numPr>
        <w:tabs>
          <w:tab w:val="start" w:pos="22.45pt"/>
        </w:tabs>
        <w:autoSpaceDE w:val="0"/>
        <w:spacing w:after="6pt" w:line="13.20pt" w:lineRule="auto"/>
        <w:ind w:start="35.70pt" w:hanging="17.85pt"/>
        <w:jc w:val="both"/>
      </w:pPr>
      <w:r>
        <w:rPr>
          <w:rFonts w:cs="Calibri"/>
        </w:rPr>
        <w:t>Neudržované místní komunikace nebudou označovány. Na neudržované místní</w:t>
      </w:r>
      <w:r>
        <w:rPr>
          <w:rFonts w:cs="Calibri"/>
          <w:noProof/>
        </w:rPr>
        <w:drawing>
          <wp:anchor distT="0" distB="0" distL="114300" distR="114300" simplePos="0" relativeHeight="251674624" behindDoc="1" locked="0" layoutInCell="1" allowOverlap="1" wp14:anchorId="537DE5D9" wp14:editId="1FE78DCD">
            <wp:simplePos x="0" y="0"/>
            <wp:positionH relativeFrom="page">
              <wp:posOffset>3237862</wp:posOffset>
            </wp:positionH>
            <wp:positionV relativeFrom="paragraph">
              <wp:posOffset>60963</wp:posOffset>
            </wp:positionV>
            <wp:extent cx="12060" cy="113669"/>
            <wp:effectExtent l="0" t="0" r="26040" b="631"/>
            <wp:wrapNone/>
            <wp:docPr id="1517252774" name="Text Box 6"/>
            <wp:cNvGraphicFramePr/>
            <a:graphic xmlns:a="http://purl.oclc.org/ooxml/drawingml/main">
              <a:graphicData uri="http://schemas.microsoft.com/office/word/2010/wordprocessingShape">
                <wp:wsp>
                  <wp:cNvSpPr txBox="1"/>
                  <wp:spPr>
                    <a:xfrm>
                      <a:off x="0" y="0"/>
                      <a:ext cx="12060" cy="11366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wp:spPr>
                  <wp:txbx>
                    <wne:txbxContent>
                      <w:p w14:paraId="06F4D820" w14:textId="77777777" w:rsidR="000E535F" w:rsidRDefault="00000000">
                        <w:pPr>
                          <w:spacing w:line="8.95pt" w:lineRule="exact"/>
                        </w:pPr>
                        <w:r>
                          <w:rPr>
                            <w:rFonts w:ascii="Arial" w:hAnsi="Arial"/>
                            <w:color w:val="493F2F"/>
                            <w:w w:val="35%"/>
                            <w:sz w:val="16"/>
                          </w:rPr>
                          <w:t>)</w:t>
                        </w:r>
                      </w:p>
                    </wne:txbxContent>
                  </wp:txbx>
                  <wp:bodyPr vert="horz" wrap="square" lIns="0" tIns="0" rIns="0" bIns="0" anchor="t" anchorCtr="0" compatLnSpc="0">
                    <a:noAutofit/>
                  </wp:bodyPr>
                </wp:wsp>
              </a:graphicData>
            </a:graphic>
          </wp:anchor>
        </w:drawing>
      </w:r>
      <w:r>
        <w:rPr>
          <w:rFonts w:cs="Calibri"/>
        </w:rPr>
        <w:t xml:space="preserve"> komunikace obec upozorňuje uživatele vyhlášením tohoto nařízení včetně jeho příloh.</w:t>
      </w:r>
    </w:p>
    <w:p w14:paraId="6467EA4F" w14:textId="77777777" w:rsidR="000E535F" w:rsidRDefault="00000000">
      <w:pPr>
        <w:pStyle w:val="Odstavecseseznamem"/>
        <w:widowControl w:val="0"/>
        <w:numPr>
          <w:ilvl w:val="0"/>
          <w:numId w:val="3"/>
        </w:numPr>
        <w:tabs>
          <w:tab w:val="start" w:pos="22.45pt"/>
        </w:tabs>
        <w:autoSpaceDE w:val="0"/>
        <w:spacing w:after="6pt" w:line="13.20pt" w:lineRule="auto"/>
        <w:ind w:start="35.70pt" w:hanging="17.85pt"/>
        <w:jc w:val="both"/>
        <w:rPr>
          <w:rFonts w:cs="Calibri"/>
        </w:rPr>
      </w:pPr>
      <w:r>
        <w:rPr>
          <w:rFonts w:cs="Calibri"/>
        </w:rPr>
        <w:t>Tímto nařízením nejsou dotčeny nároky osob z titulu náhrady škody podle občanského práva.</w:t>
      </w:r>
    </w:p>
    <w:p w14:paraId="0194C486" w14:textId="77777777" w:rsidR="000E535F" w:rsidRDefault="00000000">
      <w:pPr>
        <w:pStyle w:val="Odstavecseseznamem"/>
        <w:widowControl w:val="0"/>
        <w:numPr>
          <w:ilvl w:val="0"/>
          <w:numId w:val="3"/>
        </w:numPr>
        <w:tabs>
          <w:tab w:val="start" w:pos="22.45pt"/>
        </w:tabs>
        <w:autoSpaceDE w:val="0"/>
        <w:spacing w:after="0pt" w:line="13.20pt" w:lineRule="auto"/>
        <w:ind w:end="7.05pt"/>
        <w:jc w:val="both"/>
        <w:rPr>
          <w:rFonts w:cs="Calibri"/>
        </w:rPr>
      </w:pPr>
      <w:r>
        <w:rPr>
          <w:rFonts w:cs="Calibri"/>
        </w:rPr>
        <w:t>Toto nařízení nabývá účinnosti dnem zveřejnění ve Sbírce právních předpisů územních samosprávních celků a některých správních úřadů.</w:t>
      </w:r>
    </w:p>
    <w:p w14:paraId="43440AC4" w14:textId="77777777" w:rsidR="000E535F" w:rsidRDefault="000E535F">
      <w:pPr>
        <w:tabs>
          <w:tab w:val="start" w:pos="81pt"/>
          <w:tab w:val="start" w:pos="387pt"/>
        </w:tabs>
        <w:autoSpaceDE w:val="0"/>
        <w:spacing w:after="0pt" w:line="13.20pt" w:lineRule="auto"/>
        <w:rPr>
          <w:rFonts w:cs="Calibri"/>
          <w:color w:val="000000"/>
        </w:rPr>
      </w:pPr>
    </w:p>
    <w:p w14:paraId="245DE2FD" w14:textId="77777777" w:rsidR="000E535F" w:rsidRDefault="000E535F">
      <w:pPr>
        <w:tabs>
          <w:tab w:val="start" w:pos="81pt"/>
          <w:tab w:val="start" w:pos="387pt"/>
        </w:tabs>
        <w:autoSpaceDE w:val="0"/>
        <w:spacing w:after="0pt" w:line="13.20pt" w:lineRule="auto"/>
        <w:rPr>
          <w:rFonts w:cs="Calibri"/>
          <w:color w:val="000000"/>
        </w:rPr>
      </w:pPr>
    </w:p>
    <w:p w14:paraId="40D9C46C" w14:textId="77777777" w:rsidR="000E535F" w:rsidRDefault="000E535F">
      <w:pPr>
        <w:tabs>
          <w:tab w:val="start" w:pos="68.05pt"/>
          <w:tab w:val="start" w:pos="387pt"/>
        </w:tabs>
        <w:autoSpaceDE w:val="0"/>
        <w:spacing w:after="0pt" w:line="13.20pt" w:lineRule="auto"/>
        <w:jc w:val="both"/>
        <w:rPr>
          <w:rFonts w:cs="Calibri"/>
        </w:rPr>
      </w:pPr>
    </w:p>
    <w:p w14:paraId="7D514C21" w14:textId="77777777" w:rsidR="000E535F" w:rsidRDefault="00000000">
      <w:pPr>
        <w:tabs>
          <w:tab w:val="start" w:pos="68.05pt"/>
          <w:tab w:val="start" w:pos="387pt"/>
        </w:tabs>
        <w:autoSpaceDE w:val="0"/>
        <w:spacing w:after="0pt" w:line="13.20pt" w:lineRule="auto"/>
        <w:jc w:val="both"/>
      </w:pPr>
      <w:r>
        <w:rPr>
          <w:rFonts w:cs="Calibri"/>
        </w:rPr>
        <w:t>_______________________                                                               _______________________</w:t>
      </w:r>
      <w:r>
        <w:rPr>
          <w:rFonts w:cs="Calibri"/>
          <w:i/>
          <w:iCs/>
          <w:color w:val="000000"/>
        </w:rPr>
        <w:t xml:space="preserve">   </w:t>
      </w:r>
    </w:p>
    <w:p w14:paraId="32E29995" w14:textId="77777777" w:rsidR="000E535F" w:rsidRDefault="00000000">
      <w:pPr>
        <w:spacing w:after="0pt" w:line="13.20pt" w:lineRule="auto"/>
      </w:pPr>
      <w:r>
        <w:rPr>
          <w:rFonts w:cs="Calibri"/>
          <w:i/>
          <w:iCs/>
          <w:color w:val="000000"/>
        </w:rPr>
        <w:t>Petr Soukup, starosta                                                                   Miluše Zahrádková, místostarostka</w:t>
      </w:r>
    </w:p>
    <w:sectPr w:rsidR="000E535F">
      <w:headerReference w:type="default" r:id="rId7"/>
      <w:footerReference w:type="default" r:id="rId8"/>
      <w:headerReference w:type="first" r:id="rId9"/>
      <w:footerReference w:type="first" r:id="rId10"/>
      <w:pgSz w:w="595.30pt" w:h="841.90pt"/>
      <w:pgMar w:top="56.70pt" w:right="70.85pt" w:bottom="70.85pt" w:left="70.85pt" w:header="35.35pt" w:footer="35.40pt" w:gutter="0pt"/>
      <w:cols w:space="35.40pt"/>
      <w:titlePg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191C2010" w14:textId="77777777" w:rsidR="00C97E82" w:rsidRDefault="00C97E82">
      <w:pPr>
        <w:spacing w:after="0pt" w:line="12pt" w:lineRule="auto"/>
      </w:pPr>
      <w:r>
        <w:separator/>
      </w:r>
    </w:p>
  </w:endnote>
  <w:endnote w:type="continuationSeparator" w:id="0">
    <w:p w14:paraId="0BADF324" w14:textId="77777777" w:rsidR="00C97E82" w:rsidRDefault="00C97E82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2166998" w14:textId="77777777" w:rsidR="007009DC" w:rsidRDefault="00000000">
    <w:pPr>
      <w:pStyle w:val="Zpat"/>
      <w:tabs>
        <w:tab w:val="start" w:pos="21.30pt"/>
      </w:tabs>
      <w:jc w:val="end"/>
    </w:pPr>
    <w:r>
      <w:rPr>
        <w:rFonts w:eastAsia="Times New Roman"/>
        <w:sz w:val="16"/>
        <w:szCs w:val="16"/>
        <w:lang w:eastAsia="cs-CZ"/>
      </w:rPr>
      <w:t>www.brandysko.cz</w:t>
    </w:r>
  </w:p>
  <w:p w14:paraId="10DDCD1B" w14:textId="77777777" w:rsidR="007009DC" w:rsidRDefault="00000000">
    <w:pPr>
      <w:tabs>
        <w:tab w:val="center" w:pos="226.80pt"/>
        <w:tab w:val="end" w:pos="453.60pt"/>
      </w:tabs>
      <w:spacing w:after="0pt" w:line="12pt" w:lineRule="auto"/>
      <w:jc w:val="end"/>
      <w:rPr>
        <w:rFonts w:eastAsia="Times New Roman"/>
        <w:sz w:val="16"/>
        <w:szCs w:val="16"/>
        <w:lang w:eastAsia="cs-CZ"/>
      </w:rPr>
    </w:pPr>
    <w:r>
      <w:rPr>
        <w:rFonts w:eastAsia="Times New Roman"/>
        <w:sz w:val="16"/>
        <w:szCs w:val="16"/>
        <w:lang w:eastAsia="cs-CZ"/>
      </w:rPr>
      <w:t xml:space="preserve">epodatelna@brandysko.cz </w:t>
    </w:r>
  </w:p>
  <w:p w14:paraId="281232F7" w14:textId="77777777" w:rsidR="007009DC" w:rsidRDefault="00000000">
    <w:pPr>
      <w:pStyle w:val="Zpat"/>
      <w:jc w:val="end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rFonts w:eastAsia="Times New Roman"/>
        <w:sz w:val="16"/>
        <w:szCs w:val="16"/>
        <w:lang w:eastAsia="cs-CZ"/>
      </w:rPr>
      <w:t xml:space="preserve">                                                                        ID datové schránky: c5hb7xy</w:t>
    </w: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6F45CDB" w14:textId="77777777" w:rsidR="007009DC" w:rsidRDefault="00000000">
    <w:pPr>
      <w:pStyle w:val="Zpat"/>
      <w:tabs>
        <w:tab w:val="start" w:pos="21.30pt"/>
      </w:tabs>
      <w:jc w:val="end"/>
    </w:pPr>
    <w:r>
      <w:rPr>
        <w:rFonts w:eastAsia="Times New Roman"/>
        <w:sz w:val="16"/>
        <w:szCs w:val="16"/>
        <w:lang w:eastAsia="cs-CZ"/>
      </w:rPr>
      <w:t>www.brandysko.cz</w:t>
    </w:r>
  </w:p>
  <w:p w14:paraId="279B06B1" w14:textId="77777777" w:rsidR="007009DC" w:rsidRDefault="00000000">
    <w:pPr>
      <w:tabs>
        <w:tab w:val="center" w:pos="226.80pt"/>
        <w:tab w:val="end" w:pos="453.60pt"/>
      </w:tabs>
      <w:spacing w:after="0pt" w:line="12pt" w:lineRule="auto"/>
      <w:jc w:val="end"/>
      <w:rPr>
        <w:rFonts w:eastAsia="Times New Roman"/>
        <w:sz w:val="16"/>
        <w:szCs w:val="16"/>
        <w:lang w:eastAsia="cs-CZ"/>
      </w:rPr>
    </w:pPr>
    <w:r>
      <w:rPr>
        <w:rFonts w:eastAsia="Times New Roman"/>
        <w:sz w:val="16"/>
        <w:szCs w:val="16"/>
        <w:lang w:eastAsia="cs-CZ"/>
      </w:rPr>
      <w:t xml:space="preserve">epodatelna@brandysko.cz </w:t>
    </w:r>
  </w:p>
  <w:p w14:paraId="015C7292" w14:textId="77777777" w:rsidR="007009DC" w:rsidRDefault="00000000">
    <w:pPr>
      <w:pStyle w:val="Zpat"/>
      <w:jc w:val="end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rFonts w:eastAsia="Times New Roman"/>
        <w:sz w:val="16"/>
        <w:szCs w:val="16"/>
        <w:lang w:eastAsia="cs-CZ"/>
      </w:rPr>
      <w:t xml:space="preserve">                                                                        ID datové schránky: c5hb7xy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15150176" w14:textId="77777777" w:rsidR="00C97E82" w:rsidRDefault="00C97E82">
      <w:pPr>
        <w:spacing w:after="0pt" w:line="12pt" w:lineRule="auto"/>
      </w:pPr>
      <w:r>
        <w:rPr>
          <w:color w:val="000000"/>
        </w:rPr>
        <w:separator/>
      </w:r>
    </w:p>
  </w:footnote>
  <w:footnote w:type="continuationSeparator" w:id="0">
    <w:p w14:paraId="481DCB4B" w14:textId="77777777" w:rsidR="00C97E82" w:rsidRDefault="00C97E82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E1F8AF9" w14:textId="77777777" w:rsidR="007009DC" w:rsidRDefault="00000000">
    <w:pPr>
      <w:pStyle w:val="Zhlav"/>
      <w:jc w:val="end"/>
      <w:rPr>
        <w:b/>
        <w:bCs/>
        <w:i/>
        <w:iCs/>
        <w:sz w:val="18"/>
        <w:szCs w:val="18"/>
      </w:rPr>
    </w:pPr>
    <w:r>
      <w:rPr>
        <w:b/>
        <w:bCs/>
        <w:i/>
        <w:iCs/>
        <w:sz w:val="18"/>
        <w:szCs w:val="18"/>
      </w:rPr>
      <w:t>Nařízení o zimní údržbě komunikací</w:t>
    </w: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5A044F5" w14:textId="77777777" w:rsidR="007009DC" w:rsidRDefault="00000000">
    <w:pPr>
      <w:keepNext/>
      <w:tabs>
        <w:tab w:val="start" w:pos="155.95pt"/>
      </w:tabs>
      <w:overflowPunct w:val="0"/>
      <w:autoSpaceDE w:val="0"/>
      <w:spacing w:after="0pt" w:line="12pt" w:lineRule="auto"/>
      <w:ind w:start="92.15pt"/>
      <w:outlineLvl w:val="0"/>
    </w:pPr>
    <w:r>
      <w:rPr>
        <w:rFonts w:eastAsia="Times New Roman"/>
        <w:noProof/>
        <w:sz w:val="26"/>
        <w:szCs w:val="26"/>
        <w:lang w:eastAsia="cs-CZ"/>
      </w:rPr>
      <w:drawing>
        <wp:anchor distT="0" distB="0" distL="114300" distR="114300" simplePos="0" relativeHeight="251659264" behindDoc="0" locked="0" layoutInCell="1" allowOverlap="1" wp14:anchorId="4600E326" wp14:editId="2B170A96">
          <wp:simplePos x="0" y="0"/>
          <wp:positionH relativeFrom="column">
            <wp:posOffset>-9528</wp:posOffset>
          </wp:positionH>
          <wp:positionV relativeFrom="paragraph">
            <wp:posOffset>48892</wp:posOffset>
          </wp:positionV>
          <wp:extent cx="1234714" cy="755998"/>
          <wp:effectExtent l="0" t="0" r="3536" b="6002"/>
          <wp:wrapSquare wrapText="bothSides"/>
          <wp:docPr id="1780262221" name="Obrázek 2" descr="logo města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4714" cy="755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26"/>
      </w:rPr>
      <w:t>Město Brandýs nad Labem-Stará Boleslav</w:t>
    </w:r>
  </w:p>
  <w:p w14:paraId="40821EA1" w14:textId="77777777" w:rsidR="007009DC" w:rsidRDefault="00000000">
    <w:pPr>
      <w:keepNext/>
      <w:overflowPunct w:val="0"/>
      <w:autoSpaceDE w:val="0"/>
      <w:spacing w:after="0pt" w:line="12pt" w:lineRule="auto"/>
      <w:ind w:start="92.15pt"/>
      <w:outlineLvl w:val="0"/>
    </w:pPr>
    <w:r>
      <w:rPr>
        <w:rFonts w:eastAsia="Times New Roman"/>
        <w:sz w:val="26"/>
        <w:szCs w:val="26"/>
        <w:lang w:eastAsia="cs-CZ"/>
      </w:rPr>
      <w:t>Rada města</w:t>
    </w:r>
  </w:p>
  <w:p w14:paraId="5ADDE618" w14:textId="77777777" w:rsidR="007009DC" w:rsidRDefault="00000000">
    <w:pPr>
      <w:keepNext/>
      <w:overflowPunct w:val="0"/>
      <w:autoSpaceDE w:val="0"/>
      <w:spacing w:after="0pt" w:line="12pt" w:lineRule="auto"/>
      <w:ind w:start="92.15pt"/>
      <w:outlineLvl w:val="0"/>
      <w:rPr>
        <w:sz w:val="26"/>
      </w:rPr>
    </w:pPr>
    <w:r>
      <w:rPr>
        <w:sz w:val="26"/>
      </w:rPr>
      <w:t>Masarykovo náměstí 1/6</w:t>
    </w:r>
  </w:p>
  <w:p w14:paraId="0DD11E3C" w14:textId="77777777" w:rsidR="007009DC" w:rsidRDefault="00000000">
    <w:pPr>
      <w:pBdr>
        <w:bottom w:val="single" w:sz="8" w:space="1" w:color="000000"/>
      </w:pBdr>
      <w:spacing w:after="12pt" w:line="12pt" w:lineRule="auto"/>
      <w:ind w:start="92.15pt"/>
    </w:pPr>
    <w:r>
      <w:rPr>
        <w:sz w:val="26"/>
      </w:rPr>
      <w:t>250 01 Brandýs nad Labem-Stará Boleslav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37F27601"/>
    <w:multiLevelType w:val="multilevel"/>
    <w:tmpl w:val="937209F8"/>
    <w:lvl w:ilvl="0">
      <w:start w:val="1"/>
      <w:numFmt w:val="decimal"/>
      <w:lvlText w:val="%1)"/>
      <w:lvlJc w:val="start"/>
      <w:pPr>
        <w:ind w:start="36pt" w:hanging="18pt"/>
      </w:pPr>
    </w:lvl>
    <w:lvl w:ilvl="1">
      <w:start w:val="1"/>
      <w:numFmt w:val="lowerLetter"/>
      <w:lvlText w:val="%2."/>
      <w:lvlJc w:val="start"/>
      <w:pPr>
        <w:ind w:start="72pt" w:hanging="18pt"/>
      </w:pPr>
    </w:lvl>
    <w:lvl w:ilvl="2">
      <w:start w:val="1"/>
      <w:numFmt w:val="lowerRoman"/>
      <w:lvlText w:val="%3."/>
      <w:lvlJc w:val="end"/>
      <w:pPr>
        <w:ind w:start="108pt" w:hanging="9pt"/>
      </w:pPr>
    </w:lvl>
    <w:lvl w:ilvl="3">
      <w:start w:val="1"/>
      <w:numFmt w:val="decimal"/>
      <w:lvlText w:val="%4."/>
      <w:lvlJc w:val="start"/>
      <w:pPr>
        <w:ind w:start="144pt" w:hanging="18pt"/>
      </w:pPr>
    </w:lvl>
    <w:lvl w:ilvl="4">
      <w:start w:val="1"/>
      <w:numFmt w:val="lowerLetter"/>
      <w:lvlText w:val="%5."/>
      <w:lvlJc w:val="start"/>
      <w:pPr>
        <w:ind w:start="180pt" w:hanging="18pt"/>
      </w:pPr>
    </w:lvl>
    <w:lvl w:ilvl="5">
      <w:start w:val="1"/>
      <w:numFmt w:val="lowerRoman"/>
      <w:lvlText w:val="%6."/>
      <w:lvlJc w:val="end"/>
      <w:pPr>
        <w:ind w:start="216pt" w:hanging="9pt"/>
      </w:pPr>
    </w:lvl>
    <w:lvl w:ilvl="6">
      <w:start w:val="1"/>
      <w:numFmt w:val="decimal"/>
      <w:lvlText w:val="%7."/>
      <w:lvlJc w:val="start"/>
      <w:pPr>
        <w:ind w:start="252pt" w:hanging="18pt"/>
      </w:pPr>
    </w:lvl>
    <w:lvl w:ilvl="7">
      <w:start w:val="1"/>
      <w:numFmt w:val="lowerLetter"/>
      <w:lvlText w:val="%8."/>
      <w:lvlJc w:val="start"/>
      <w:pPr>
        <w:ind w:start="288pt" w:hanging="18pt"/>
      </w:pPr>
    </w:lvl>
    <w:lvl w:ilvl="8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4ADC20E8"/>
    <w:multiLevelType w:val="multilevel"/>
    <w:tmpl w:val="1C681872"/>
    <w:lvl w:ilvl="0">
      <w:start w:val="1"/>
      <w:numFmt w:val="decimal"/>
      <w:lvlText w:val="%1)"/>
      <w:lvlJc w:val="start"/>
      <w:pPr>
        <w:ind w:start="36pt" w:hanging="18pt"/>
      </w:pPr>
    </w:lvl>
    <w:lvl w:ilvl="1">
      <w:start w:val="1"/>
      <w:numFmt w:val="lowerLetter"/>
      <w:lvlText w:val="%2."/>
      <w:lvlJc w:val="start"/>
      <w:pPr>
        <w:ind w:start="72pt" w:hanging="18pt"/>
      </w:pPr>
    </w:lvl>
    <w:lvl w:ilvl="2">
      <w:start w:val="1"/>
      <w:numFmt w:val="lowerRoman"/>
      <w:lvlText w:val="%3."/>
      <w:lvlJc w:val="end"/>
      <w:pPr>
        <w:ind w:start="108pt" w:hanging="9pt"/>
      </w:pPr>
    </w:lvl>
    <w:lvl w:ilvl="3">
      <w:start w:val="1"/>
      <w:numFmt w:val="decimal"/>
      <w:lvlText w:val="%4."/>
      <w:lvlJc w:val="start"/>
      <w:pPr>
        <w:ind w:start="144pt" w:hanging="18pt"/>
      </w:pPr>
    </w:lvl>
    <w:lvl w:ilvl="4">
      <w:start w:val="1"/>
      <w:numFmt w:val="lowerLetter"/>
      <w:lvlText w:val="%5."/>
      <w:lvlJc w:val="start"/>
      <w:pPr>
        <w:ind w:start="180pt" w:hanging="18pt"/>
      </w:pPr>
    </w:lvl>
    <w:lvl w:ilvl="5">
      <w:start w:val="1"/>
      <w:numFmt w:val="lowerRoman"/>
      <w:lvlText w:val="%6."/>
      <w:lvlJc w:val="end"/>
      <w:pPr>
        <w:ind w:start="216pt" w:hanging="9pt"/>
      </w:pPr>
    </w:lvl>
    <w:lvl w:ilvl="6">
      <w:start w:val="1"/>
      <w:numFmt w:val="decimal"/>
      <w:lvlText w:val="%7."/>
      <w:lvlJc w:val="start"/>
      <w:pPr>
        <w:ind w:start="252pt" w:hanging="18pt"/>
      </w:pPr>
    </w:lvl>
    <w:lvl w:ilvl="7">
      <w:start w:val="1"/>
      <w:numFmt w:val="lowerLetter"/>
      <w:lvlText w:val="%8."/>
      <w:lvlJc w:val="start"/>
      <w:pPr>
        <w:ind w:start="288pt" w:hanging="18pt"/>
      </w:pPr>
    </w:lvl>
    <w:lvl w:ilvl="8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537506E5"/>
    <w:multiLevelType w:val="multilevel"/>
    <w:tmpl w:val="4B9C23DE"/>
    <w:lvl w:ilvl="0">
      <w:start w:val="1"/>
      <w:numFmt w:val="decimal"/>
      <w:lvlText w:val="%1)"/>
      <w:lvlJc w:val="start"/>
      <w:pPr>
        <w:ind w:start="36pt" w:hanging="18pt"/>
      </w:pPr>
    </w:lvl>
    <w:lvl w:ilvl="1">
      <w:start w:val="1"/>
      <w:numFmt w:val="lowerLetter"/>
      <w:lvlText w:val="%2."/>
      <w:lvlJc w:val="start"/>
      <w:pPr>
        <w:ind w:start="72pt" w:hanging="18pt"/>
      </w:pPr>
    </w:lvl>
    <w:lvl w:ilvl="2">
      <w:start w:val="1"/>
      <w:numFmt w:val="lowerRoman"/>
      <w:lvlText w:val="%3."/>
      <w:lvlJc w:val="end"/>
      <w:pPr>
        <w:ind w:start="108pt" w:hanging="9pt"/>
      </w:pPr>
    </w:lvl>
    <w:lvl w:ilvl="3">
      <w:start w:val="1"/>
      <w:numFmt w:val="decimal"/>
      <w:lvlText w:val="%4."/>
      <w:lvlJc w:val="start"/>
      <w:pPr>
        <w:ind w:start="144pt" w:hanging="18pt"/>
      </w:pPr>
    </w:lvl>
    <w:lvl w:ilvl="4">
      <w:start w:val="1"/>
      <w:numFmt w:val="lowerLetter"/>
      <w:lvlText w:val="%5."/>
      <w:lvlJc w:val="start"/>
      <w:pPr>
        <w:ind w:start="180pt" w:hanging="18pt"/>
      </w:pPr>
    </w:lvl>
    <w:lvl w:ilvl="5">
      <w:start w:val="1"/>
      <w:numFmt w:val="lowerRoman"/>
      <w:lvlText w:val="%6."/>
      <w:lvlJc w:val="end"/>
      <w:pPr>
        <w:ind w:start="216pt" w:hanging="9pt"/>
      </w:pPr>
    </w:lvl>
    <w:lvl w:ilvl="6">
      <w:start w:val="1"/>
      <w:numFmt w:val="decimal"/>
      <w:lvlText w:val="%7."/>
      <w:lvlJc w:val="start"/>
      <w:pPr>
        <w:ind w:start="252pt" w:hanging="18pt"/>
      </w:pPr>
    </w:lvl>
    <w:lvl w:ilvl="7">
      <w:start w:val="1"/>
      <w:numFmt w:val="lowerLetter"/>
      <w:lvlText w:val="%8."/>
      <w:lvlJc w:val="start"/>
      <w:pPr>
        <w:ind w:start="288pt" w:hanging="18pt"/>
      </w:pPr>
    </w:lvl>
    <w:lvl w:ilvl="8">
      <w:start w:val="1"/>
      <w:numFmt w:val="lowerRoman"/>
      <w:lvlText w:val="%9."/>
      <w:lvlJc w:val="end"/>
      <w:pPr>
        <w:ind w:start="324pt" w:hanging="9pt"/>
      </w:pPr>
    </w:lvl>
  </w:abstractNum>
  <w:num w:numId="1" w16cid:durableId="681129541">
    <w:abstractNumId w:val="2"/>
  </w:num>
  <w:num w:numId="2" w16cid:durableId="1476214719">
    <w:abstractNumId w:val="0"/>
  </w:num>
  <w:num w:numId="3" w16cid:durableId="281228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/>
  <w:defaultTabStop w:val="35.40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35F"/>
    <w:rsid w:val="000E535F"/>
    <w:rsid w:val="00505F67"/>
    <w:rsid w:val="007009DC"/>
    <w:rsid w:val="00B7294B"/>
    <w:rsid w:val="00C97E82"/>
    <w:rsid w:val="00CB0B85"/>
    <w:rsid w:val="00CD12FA"/>
    <w:rsid w:val="00CE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1A45B5"/>
  <w15:docId w15:val="{2CD4BF99-663D-4114-B9AF-1A6B56AA01C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0pt" w:line="13.80pt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spacing w:before="12pt" w:after="3pt" w:line="12pt" w:lineRule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cs-CZ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spacing w:after="0pt" w:line="12pt" w:lineRule="auto"/>
      <w:jc w:val="both"/>
      <w:outlineLvl w:val="1"/>
    </w:pPr>
    <w:rPr>
      <w:rFonts w:ascii="Times New Roman" w:eastAsia="Times New Roman" w:hAnsi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spacing w:after="0pt" w:line="12pt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Nadpis1Char">
    <w:name w:val="Nadpis 1 Char"/>
    <w:basedOn w:val="Standardnpsmoodstavce"/>
    <w:rPr>
      <w:rFonts w:ascii="Arial" w:eastAsia="Times New Roman" w:hAnsi="Arial" w:cs="Arial"/>
      <w:b/>
      <w:bCs/>
      <w:kern w:val="3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pPr>
      <w:spacing w:after="6pt" w:line="12pt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pPr>
      <w:ind w:start="36pt"/>
    </w:pPr>
  </w:style>
  <w:style w:type="paragraph" w:styleId="Revize">
    <w:name w:val="Revision"/>
    <w:pPr>
      <w:suppressAutoHyphens/>
      <w:spacing w:after="0pt" w:line="12pt" w:lineRule="auto"/>
    </w:p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pPr>
      <w:spacing w:line="12pt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12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fontTable" Target="fontTable.xml"/><Relationship Id="rId5" Type="http://purl.oclc.org/ooxml/officeDocument/relationships/footnotes" Target="footnotes.xml"/><Relationship Id="rId10" Type="http://purl.oclc.org/ooxml/officeDocument/relationships/footer" Target="footer2.xml"/><Relationship Id="rId4" Type="http://purl.oclc.org/ooxml/officeDocument/relationships/webSettings" Target="webSettings.xml"/><Relationship Id="rId9" Type="http://purl.oclc.org/ooxml/officeDocument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707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Janák Ivo</dc:creator>
  <cp:lastModifiedBy>Schick Adam</cp:lastModifiedBy>
  <cp:revision>4</cp:revision>
  <cp:lastPrinted>2025-03-03T08:51:00Z</cp:lastPrinted>
  <dcterms:created xsi:type="dcterms:W3CDTF">2025-03-03T10:34:00Z</dcterms:created>
  <dcterms:modified xsi:type="dcterms:W3CDTF">2025-03-03T10:36:00Z</dcterms:modified>
</cp:coreProperties>
</file>