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5D1" w:rsidRDefault="00025E9D" w:rsidP="00025E9D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 xml:space="preserve">O B E C   </w:t>
      </w:r>
      <w:r w:rsidR="00E1135C">
        <w:rPr>
          <w:caps/>
          <w:color w:val="000000"/>
          <w:sz w:val="40"/>
          <w:szCs w:val="40"/>
        </w:rPr>
        <w:t>H O R N Í   P O D L U Ž Í</w:t>
      </w:r>
    </w:p>
    <w:p w:rsidR="00C235D1" w:rsidRPr="004006BB" w:rsidRDefault="00C235D1" w:rsidP="00025E9D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  <w:sz w:val="24"/>
          <w:szCs w:val="24"/>
        </w:rPr>
      </w:pPr>
    </w:p>
    <w:p w:rsidR="00C235D1" w:rsidRPr="00CD71C6" w:rsidRDefault="00CD71C6" w:rsidP="00025E9D">
      <w:pPr>
        <w:pStyle w:val="Nadpis1"/>
        <w:keepNext w:val="0"/>
        <w:widowControl w:val="0"/>
        <w:tabs>
          <w:tab w:val="left" w:pos="9354"/>
        </w:tabs>
        <w:ind w:right="-6"/>
        <w:rPr>
          <w:rFonts w:eastAsia="MS Mincho"/>
          <w:smallCaps w:val="0"/>
        </w:rPr>
      </w:pPr>
      <w:r w:rsidRPr="00CD71C6">
        <w:rPr>
          <w:smallCaps w:val="0"/>
        </w:rPr>
        <w:t>Obecně závazná vyhláška</w:t>
      </w:r>
      <w:r w:rsidR="00C235D1" w:rsidRPr="00CD71C6">
        <w:rPr>
          <w:smallCaps w:val="0"/>
        </w:rPr>
        <w:t xml:space="preserve"> </w:t>
      </w:r>
      <w:r w:rsidRPr="00CD71C6">
        <w:rPr>
          <w:smallCaps w:val="0"/>
        </w:rPr>
        <w:t>č</w:t>
      </w:r>
      <w:r w:rsidR="00C235D1" w:rsidRPr="00CD71C6">
        <w:rPr>
          <w:rFonts w:eastAsia="MS Mincho"/>
          <w:smallCaps w:val="0"/>
        </w:rPr>
        <w:t xml:space="preserve">. </w:t>
      </w:r>
      <w:r w:rsidR="00DC659C">
        <w:rPr>
          <w:rFonts w:eastAsia="MS Mincho"/>
          <w:smallCaps w:val="0"/>
        </w:rPr>
        <w:t>1</w:t>
      </w:r>
      <w:r w:rsidR="00C235D1" w:rsidRPr="00CD71C6">
        <w:rPr>
          <w:rFonts w:eastAsia="MS Mincho"/>
          <w:smallCaps w:val="0"/>
        </w:rPr>
        <w:t>/201</w:t>
      </w:r>
      <w:r w:rsidR="00DC5603">
        <w:rPr>
          <w:rFonts w:eastAsia="MS Mincho"/>
          <w:smallCaps w:val="0"/>
        </w:rPr>
        <w:t>4</w:t>
      </w:r>
      <w:r w:rsidR="00C235D1" w:rsidRPr="00CD71C6">
        <w:rPr>
          <w:rFonts w:eastAsia="MS Mincho"/>
          <w:smallCaps w:val="0"/>
        </w:rPr>
        <w:t>,</w:t>
      </w:r>
    </w:p>
    <w:p w:rsidR="00C235D1" w:rsidRDefault="00C235D1" w:rsidP="00A36A51">
      <w:pPr>
        <w:adjustRightInd w:val="0"/>
        <w:jc w:val="center"/>
        <w:rPr>
          <w:b/>
          <w:bCs/>
        </w:rPr>
      </w:pPr>
    </w:p>
    <w:p w:rsidR="00C235D1" w:rsidRDefault="00C235D1" w:rsidP="00A36A51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stanovení koeficient</w:t>
      </w:r>
      <w:r w:rsidR="00000AFF">
        <w:rPr>
          <w:b/>
          <w:bCs/>
          <w:sz w:val="28"/>
          <w:szCs w:val="28"/>
        </w:rPr>
        <w:t>u</w:t>
      </w:r>
      <w:r w:rsidR="00CB7BBE">
        <w:rPr>
          <w:b/>
          <w:bCs/>
          <w:sz w:val="28"/>
          <w:szCs w:val="28"/>
        </w:rPr>
        <w:t xml:space="preserve"> pro výpočet daně z nemovitých věcí</w:t>
      </w:r>
    </w:p>
    <w:p w:rsidR="00A36A51" w:rsidRDefault="00A36A51" w:rsidP="00A36A51">
      <w:pPr>
        <w:adjustRightInd w:val="0"/>
        <w:jc w:val="center"/>
      </w:pPr>
    </w:p>
    <w:p w:rsidR="00C235D1" w:rsidRDefault="00C235D1" w:rsidP="00025E9D">
      <w:pPr>
        <w:pStyle w:val="obyejn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Zastupitelstvo obce </w:t>
      </w:r>
      <w:r w:rsidR="00E1135C">
        <w:rPr>
          <w:i/>
          <w:color w:val="000000"/>
          <w:sz w:val="24"/>
          <w:szCs w:val="24"/>
        </w:rPr>
        <w:t>Horní Podluží</w:t>
      </w:r>
      <w:r>
        <w:rPr>
          <w:i/>
          <w:color w:val="000000"/>
          <w:sz w:val="24"/>
          <w:szCs w:val="24"/>
        </w:rPr>
        <w:t xml:space="preserve"> vydává dne </w:t>
      </w:r>
      <w:r w:rsidR="00DC659C">
        <w:rPr>
          <w:i/>
          <w:color w:val="000000"/>
          <w:sz w:val="24"/>
          <w:szCs w:val="24"/>
        </w:rPr>
        <w:t>10. 9.</w:t>
      </w:r>
      <w:r>
        <w:rPr>
          <w:i/>
          <w:color w:val="000000"/>
          <w:sz w:val="24"/>
          <w:szCs w:val="24"/>
        </w:rPr>
        <w:t xml:space="preserve"> </w:t>
      </w:r>
      <w:r w:rsidR="00DC5603">
        <w:rPr>
          <w:i/>
          <w:color w:val="000000"/>
          <w:sz w:val="24"/>
          <w:szCs w:val="24"/>
        </w:rPr>
        <w:t>2014</w:t>
      </w:r>
      <w:r>
        <w:rPr>
          <w:i/>
          <w:color w:val="000000"/>
          <w:sz w:val="24"/>
          <w:szCs w:val="24"/>
        </w:rPr>
        <w:t xml:space="preserve"> podle </w:t>
      </w:r>
      <w:r>
        <w:rPr>
          <w:i/>
          <w:color w:val="auto"/>
          <w:sz w:val="24"/>
          <w:szCs w:val="24"/>
        </w:rPr>
        <w:t xml:space="preserve">ustanovení </w:t>
      </w:r>
      <w:r w:rsidR="00CD71C6">
        <w:rPr>
          <w:i/>
          <w:color w:val="auto"/>
          <w:sz w:val="24"/>
          <w:szCs w:val="24"/>
        </w:rPr>
        <w:t>§</w:t>
      </w:r>
      <w:r w:rsidR="00665DDF">
        <w:rPr>
          <w:i/>
          <w:color w:val="auto"/>
          <w:sz w:val="24"/>
          <w:szCs w:val="24"/>
        </w:rPr>
        <w:t> </w:t>
      </w:r>
      <w:r>
        <w:rPr>
          <w:i/>
          <w:color w:val="auto"/>
          <w:sz w:val="24"/>
          <w:szCs w:val="24"/>
        </w:rPr>
        <w:t>11 odst.</w:t>
      </w:r>
      <w:r w:rsidR="00CD71C6">
        <w:rPr>
          <w:i/>
          <w:color w:val="auto"/>
          <w:sz w:val="24"/>
          <w:szCs w:val="24"/>
        </w:rPr>
        <w:t> </w:t>
      </w:r>
      <w:r>
        <w:rPr>
          <w:i/>
          <w:color w:val="auto"/>
          <w:sz w:val="24"/>
          <w:szCs w:val="24"/>
        </w:rPr>
        <w:t>3 písm.</w:t>
      </w:r>
      <w:r w:rsidR="00CD71C6">
        <w:rPr>
          <w:i/>
          <w:color w:val="auto"/>
          <w:sz w:val="24"/>
          <w:szCs w:val="24"/>
        </w:rPr>
        <w:t xml:space="preserve"> </w:t>
      </w:r>
      <w:r>
        <w:rPr>
          <w:i/>
          <w:color w:val="auto"/>
          <w:sz w:val="24"/>
          <w:szCs w:val="24"/>
        </w:rPr>
        <w:t>b) zákona č. 338/1992 Sb., o dani z</w:t>
      </w:r>
      <w:r w:rsidR="00316D8A">
        <w:rPr>
          <w:i/>
          <w:color w:val="auto"/>
          <w:sz w:val="24"/>
          <w:szCs w:val="24"/>
        </w:rPr>
        <w:t> </w:t>
      </w:r>
      <w:r>
        <w:rPr>
          <w:i/>
          <w:color w:val="auto"/>
          <w:sz w:val="24"/>
          <w:szCs w:val="24"/>
        </w:rPr>
        <w:t>nemovit</w:t>
      </w:r>
      <w:r w:rsidR="00316D8A">
        <w:rPr>
          <w:i/>
          <w:color w:val="auto"/>
          <w:sz w:val="24"/>
          <w:szCs w:val="24"/>
        </w:rPr>
        <w:t>ých věcí</w:t>
      </w:r>
      <w:r>
        <w:rPr>
          <w:i/>
          <w:color w:val="auto"/>
          <w:sz w:val="24"/>
          <w:szCs w:val="24"/>
        </w:rPr>
        <w:t>, ve znění pozdějších předpisů (dále jen „zákon o dani z</w:t>
      </w:r>
      <w:r w:rsidR="00316D8A">
        <w:rPr>
          <w:i/>
          <w:color w:val="auto"/>
          <w:sz w:val="24"/>
          <w:szCs w:val="24"/>
        </w:rPr>
        <w:t> nemovitých věcí</w:t>
      </w:r>
      <w:r>
        <w:rPr>
          <w:i/>
          <w:color w:val="auto"/>
          <w:sz w:val="24"/>
          <w:szCs w:val="24"/>
        </w:rPr>
        <w:t xml:space="preserve">“), </w:t>
      </w:r>
      <w:r>
        <w:rPr>
          <w:i/>
          <w:color w:val="000000"/>
          <w:sz w:val="24"/>
          <w:szCs w:val="24"/>
        </w:rPr>
        <w:t>a v souladu s ustanoveními § 10 písm. d) a § 84 odst. 2 písm. h) zákona č. 128/2000 Sb., o obcích (obecní zřízení), ve</w:t>
      </w:r>
      <w:r w:rsidR="00025E9D">
        <w:rPr>
          <w:color w:val="000000"/>
        </w:rPr>
        <w:t> </w:t>
      </w:r>
      <w:r>
        <w:rPr>
          <w:i/>
          <w:color w:val="000000"/>
          <w:sz w:val="24"/>
          <w:szCs w:val="24"/>
        </w:rPr>
        <w:t>znění pozdějších předpisů, tuto obecně závaznou vyhlášku:</w:t>
      </w:r>
    </w:p>
    <w:p w:rsidR="00A36A51" w:rsidRDefault="00A36A51" w:rsidP="00A36A51">
      <w:pPr>
        <w:adjustRightInd w:val="0"/>
        <w:jc w:val="center"/>
        <w:rPr>
          <w:b/>
          <w:color w:val="000000"/>
        </w:rPr>
      </w:pPr>
    </w:p>
    <w:p w:rsidR="00CD71C6" w:rsidRPr="004006BB" w:rsidRDefault="00CD71C6" w:rsidP="00A36A51">
      <w:pPr>
        <w:adjustRightInd w:val="0"/>
        <w:jc w:val="center"/>
        <w:rPr>
          <w:b/>
          <w:color w:val="000000"/>
        </w:rPr>
      </w:pPr>
      <w:r w:rsidRPr="004006BB">
        <w:rPr>
          <w:b/>
          <w:color w:val="000000"/>
        </w:rPr>
        <w:t>Článek 1</w:t>
      </w:r>
    </w:p>
    <w:p w:rsidR="00C235D1" w:rsidRPr="00255809" w:rsidRDefault="00C235D1" w:rsidP="00A36A51">
      <w:pPr>
        <w:jc w:val="center"/>
        <w:rPr>
          <w:b/>
        </w:rPr>
      </w:pPr>
      <w:r w:rsidRPr="00255809">
        <w:rPr>
          <w:b/>
        </w:rPr>
        <w:t>Koeficient – daň ze staveb</w:t>
      </w:r>
      <w:r w:rsidR="00DC5603" w:rsidRPr="00255809">
        <w:rPr>
          <w:b/>
        </w:rPr>
        <w:t xml:space="preserve"> a jednotek</w:t>
      </w:r>
    </w:p>
    <w:p w:rsidR="00C235D1" w:rsidRPr="00255809" w:rsidRDefault="00C235D1" w:rsidP="00A36A51">
      <w:pPr>
        <w:adjustRightInd w:val="0"/>
        <w:jc w:val="center"/>
        <w:rPr>
          <w:b/>
          <w:color w:val="000000"/>
        </w:rPr>
      </w:pPr>
    </w:p>
    <w:p w:rsidR="00DC5603" w:rsidRPr="00255809" w:rsidRDefault="00DC5603" w:rsidP="00C535D9">
      <w:pPr>
        <w:pStyle w:val="Zkladntext"/>
        <w:spacing w:line="240" w:lineRule="auto"/>
        <w:rPr>
          <w:color w:val="auto"/>
          <w:sz w:val="24"/>
          <w:szCs w:val="24"/>
        </w:rPr>
      </w:pPr>
      <w:r w:rsidRPr="00255809">
        <w:rPr>
          <w:sz w:val="24"/>
          <w:szCs w:val="24"/>
        </w:rPr>
        <w:t xml:space="preserve">Pro výpočet sazby daně ze staveb a jednotek u zdanitelných staveb uvedených </w:t>
      </w:r>
      <w:r w:rsidRPr="00255809">
        <w:rPr>
          <w:iCs/>
          <w:sz w:val="24"/>
          <w:szCs w:val="24"/>
        </w:rPr>
        <w:t xml:space="preserve">v § 11 odst. 1 písm. b) </w:t>
      </w:r>
      <w:r w:rsidRPr="00255809">
        <w:rPr>
          <w:sz w:val="24"/>
          <w:szCs w:val="24"/>
        </w:rPr>
        <w:t xml:space="preserve">zákona </w:t>
      </w:r>
      <w:r w:rsidR="00316D8A">
        <w:rPr>
          <w:sz w:val="24"/>
          <w:szCs w:val="24"/>
        </w:rPr>
        <w:t>o dani z nemovitých věcí</w:t>
      </w:r>
      <w:r w:rsidRPr="00255809">
        <w:rPr>
          <w:rStyle w:val="Znakapoznpodarou"/>
          <w:sz w:val="24"/>
          <w:szCs w:val="24"/>
        </w:rPr>
        <w:footnoteReference w:id="1"/>
      </w:r>
      <w:r w:rsidRPr="00255809">
        <w:rPr>
          <w:sz w:val="24"/>
          <w:szCs w:val="24"/>
          <w:vertAlign w:val="superscript"/>
        </w:rPr>
        <w:t>)</w:t>
      </w:r>
      <w:r w:rsidRPr="00255809">
        <w:rPr>
          <w:sz w:val="24"/>
          <w:szCs w:val="24"/>
        </w:rPr>
        <w:t xml:space="preserve"> se </w:t>
      </w:r>
      <w:r w:rsidR="002B0D85">
        <w:rPr>
          <w:sz w:val="24"/>
          <w:szCs w:val="24"/>
        </w:rPr>
        <w:t>stanoví</w:t>
      </w:r>
      <w:r w:rsidRPr="00255809">
        <w:rPr>
          <w:sz w:val="24"/>
          <w:szCs w:val="24"/>
        </w:rPr>
        <w:t xml:space="preserve"> dle § 11 odst. 3 písm. b) zákona </w:t>
      </w:r>
      <w:r w:rsidR="00316D8A">
        <w:rPr>
          <w:sz w:val="24"/>
          <w:szCs w:val="24"/>
        </w:rPr>
        <w:t>o dani z nemovitých věcí</w:t>
      </w:r>
      <w:r w:rsidRPr="00255809">
        <w:rPr>
          <w:sz w:val="24"/>
          <w:szCs w:val="24"/>
        </w:rPr>
        <w:t xml:space="preserve"> </w:t>
      </w:r>
      <w:r w:rsidR="002B0D85">
        <w:rPr>
          <w:sz w:val="24"/>
          <w:szCs w:val="24"/>
        </w:rPr>
        <w:t xml:space="preserve">v celé obci </w:t>
      </w:r>
      <w:r w:rsidRPr="00255809">
        <w:rPr>
          <w:sz w:val="24"/>
          <w:szCs w:val="24"/>
        </w:rPr>
        <w:t xml:space="preserve">koeficient ve výši </w:t>
      </w:r>
      <w:r w:rsidRPr="00B02B8F">
        <w:rPr>
          <w:b/>
          <w:sz w:val="28"/>
          <w:szCs w:val="28"/>
        </w:rPr>
        <w:t>1,5</w:t>
      </w:r>
      <w:r w:rsidRPr="00255809">
        <w:rPr>
          <w:sz w:val="24"/>
          <w:szCs w:val="24"/>
        </w:rPr>
        <w:t>.</w:t>
      </w:r>
    </w:p>
    <w:p w:rsidR="00C235D1" w:rsidRPr="00255809" w:rsidRDefault="00C235D1" w:rsidP="00A36A51">
      <w:pPr>
        <w:pStyle w:val="standard"/>
        <w:widowControl/>
        <w:autoSpaceDE/>
        <w:spacing w:before="0"/>
        <w:ind w:firstLine="0"/>
        <w:rPr>
          <w:b/>
          <w:color w:val="auto"/>
          <w:sz w:val="24"/>
          <w:szCs w:val="24"/>
        </w:rPr>
      </w:pPr>
    </w:p>
    <w:p w:rsidR="007C72F8" w:rsidRDefault="007C72F8" w:rsidP="007C72F8">
      <w:pPr>
        <w:pStyle w:val="standard"/>
        <w:widowControl/>
        <w:autoSpaceDE/>
        <w:spacing w:before="0"/>
        <w:ind w:firstLine="0"/>
        <w:jc w:val="center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Článek </w:t>
      </w:r>
      <w:r w:rsidR="00C535D9">
        <w:rPr>
          <w:b/>
          <w:color w:val="auto"/>
          <w:sz w:val="24"/>
          <w:szCs w:val="24"/>
        </w:rPr>
        <w:t>2</w:t>
      </w:r>
    </w:p>
    <w:p w:rsidR="007C72F8" w:rsidRDefault="00025E9D" w:rsidP="007C72F8">
      <w:pPr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Zrušovací ustanovení</w:t>
      </w:r>
    </w:p>
    <w:p w:rsidR="007C72F8" w:rsidRDefault="007C72F8" w:rsidP="007C72F8">
      <w:pPr>
        <w:adjustRightInd w:val="0"/>
        <w:jc w:val="center"/>
        <w:rPr>
          <w:b/>
          <w:color w:val="000000"/>
        </w:rPr>
      </w:pPr>
    </w:p>
    <w:p w:rsidR="007C72F8" w:rsidRDefault="007C72F8" w:rsidP="007C72F8">
      <w:pPr>
        <w:adjustRightInd w:val="0"/>
        <w:jc w:val="both"/>
        <w:rPr>
          <w:color w:val="000000"/>
        </w:rPr>
      </w:pPr>
      <w:r>
        <w:rPr>
          <w:color w:val="000000"/>
        </w:rPr>
        <w:t>Zrušuj</w:t>
      </w:r>
      <w:r w:rsidR="00A067B6">
        <w:rPr>
          <w:color w:val="000000"/>
        </w:rPr>
        <w:t xml:space="preserve">e se obecně závazná vyhláška č. </w:t>
      </w:r>
      <w:r w:rsidR="00E1135C">
        <w:rPr>
          <w:color w:val="000000"/>
        </w:rPr>
        <w:t>2/1994</w:t>
      </w:r>
      <w:r w:rsidR="00A067B6">
        <w:rPr>
          <w:color w:val="000000"/>
        </w:rPr>
        <w:t xml:space="preserve">, </w:t>
      </w:r>
      <w:r w:rsidR="00E1135C">
        <w:rPr>
          <w:color w:val="000000"/>
        </w:rPr>
        <w:t>stanovení koeficientu</w:t>
      </w:r>
      <w:r w:rsidR="00A067B6">
        <w:rPr>
          <w:color w:val="000000"/>
        </w:rPr>
        <w:t xml:space="preserve">, ze dne </w:t>
      </w:r>
      <w:r w:rsidR="00E1135C">
        <w:rPr>
          <w:color w:val="000000"/>
        </w:rPr>
        <w:t>27</w:t>
      </w:r>
      <w:r w:rsidR="00A067B6">
        <w:rPr>
          <w:color w:val="000000"/>
        </w:rPr>
        <w:t xml:space="preserve">. </w:t>
      </w:r>
      <w:r w:rsidR="00E1135C">
        <w:rPr>
          <w:color w:val="000000"/>
        </w:rPr>
        <w:t>7</w:t>
      </w:r>
      <w:r w:rsidR="00A067B6">
        <w:rPr>
          <w:color w:val="000000"/>
        </w:rPr>
        <w:t xml:space="preserve">. </w:t>
      </w:r>
      <w:r w:rsidR="00E1135C">
        <w:rPr>
          <w:color w:val="000000"/>
        </w:rPr>
        <w:t>1994</w:t>
      </w:r>
      <w:r w:rsidR="00A067B6">
        <w:rPr>
          <w:color w:val="000000"/>
        </w:rPr>
        <w:t>.</w:t>
      </w:r>
    </w:p>
    <w:p w:rsidR="007C72F8" w:rsidRDefault="007C72F8" w:rsidP="00C535D9">
      <w:pPr>
        <w:pStyle w:val="standard"/>
        <w:widowControl/>
        <w:autoSpaceDE/>
        <w:spacing w:before="0"/>
        <w:ind w:firstLine="0"/>
        <w:jc w:val="center"/>
        <w:rPr>
          <w:b/>
          <w:color w:val="auto"/>
          <w:sz w:val="24"/>
          <w:szCs w:val="24"/>
        </w:rPr>
      </w:pPr>
    </w:p>
    <w:p w:rsidR="00C235D1" w:rsidRDefault="00C235D1" w:rsidP="00C535D9">
      <w:pPr>
        <w:pStyle w:val="standard"/>
        <w:widowControl/>
        <w:autoSpaceDE/>
        <w:spacing w:before="0"/>
        <w:ind w:firstLine="0"/>
        <w:jc w:val="center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Článek </w:t>
      </w:r>
      <w:r w:rsidR="00C535D9">
        <w:rPr>
          <w:b/>
          <w:color w:val="auto"/>
          <w:sz w:val="24"/>
          <w:szCs w:val="24"/>
        </w:rPr>
        <w:t>3</w:t>
      </w:r>
    </w:p>
    <w:p w:rsidR="00C235D1" w:rsidRDefault="00C235D1" w:rsidP="00C535D9">
      <w:pPr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Účinnost</w:t>
      </w:r>
    </w:p>
    <w:p w:rsidR="00C235D1" w:rsidRDefault="00C235D1" w:rsidP="00C535D9">
      <w:pPr>
        <w:adjustRightInd w:val="0"/>
        <w:jc w:val="center"/>
        <w:rPr>
          <w:b/>
          <w:color w:val="000000"/>
        </w:rPr>
      </w:pPr>
    </w:p>
    <w:p w:rsidR="00C235D1" w:rsidRDefault="00C235D1" w:rsidP="00C535D9">
      <w:pPr>
        <w:adjustRightInd w:val="0"/>
        <w:jc w:val="both"/>
        <w:rPr>
          <w:color w:val="000000"/>
        </w:rPr>
      </w:pPr>
      <w:r>
        <w:rPr>
          <w:color w:val="000000"/>
        </w:rPr>
        <w:t xml:space="preserve">Tato obecně závazná vyhláška nabývá účinnosti dnem 1. 1. </w:t>
      </w:r>
      <w:r w:rsidRPr="00E826BB">
        <w:rPr>
          <w:color w:val="000000"/>
        </w:rPr>
        <w:t>201</w:t>
      </w:r>
      <w:r w:rsidR="00255809" w:rsidRPr="00E826BB">
        <w:rPr>
          <w:color w:val="000000"/>
        </w:rPr>
        <w:t>5</w:t>
      </w:r>
      <w:r>
        <w:rPr>
          <w:color w:val="000000"/>
        </w:rPr>
        <w:t xml:space="preserve">. </w:t>
      </w:r>
    </w:p>
    <w:p w:rsidR="00C235D1" w:rsidRDefault="00C235D1" w:rsidP="00C535D9">
      <w:pPr>
        <w:pStyle w:val="standard"/>
        <w:suppressLineNumbers/>
        <w:spacing w:before="0"/>
        <w:ind w:firstLine="709"/>
        <w:rPr>
          <w:b/>
          <w:color w:val="auto"/>
          <w:sz w:val="24"/>
          <w:szCs w:val="24"/>
        </w:rPr>
      </w:pPr>
    </w:p>
    <w:p w:rsidR="00C535D9" w:rsidRDefault="00C535D9" w:rsidP="00C535D9">
      <w:pPr>
        <w:pStyle w:val="standard"/>
        <w:suppressLineNumbers/>
        <w:spacing w:before="0"/>
        <w:ind w:firstLine="709"/>
        <w:rPr>
          <w:b/>
          <w:color w:val="auto"/>
          <w:sz w:val="24"/>
          <w:szCs w:val="24"/>
        </w:rPr>
      </w:pPr>
    </w:p>
    <w:p w:rsidR="00C535D9" w:rsidRDefault="00C535D9" w:rsidP="00C535D9">
      <w:pPr>
        <w:pStyle w:val="standard"/>
        <w:suppressLineNumbers/>
        <w:spacing w:before="0"/>
        <w:ind w:firstLine="709"/>
        <w:rPr>
          <w:b/>
          <w:color w:val="auto"/>
          <w:sz w:val="24"/>
          <w:szCs w:val="24"/>
        </w:rPr>
      </w:pPr>
    </w:p>
    <w:p w:rsidR="002A3437" w:rsidRDefault="002A3437" w:rsidP="00C535D9">
      <w:pPr>
        <w:pStyle w:val="standard"/>
        <w:suppressLineNumbers/>
        <w:spacing w:before="0"/>
        <w:ind w:firstLine="709"/>
        <w:rPr>
          <w:b/>
          <w:color w:val="auto"/>
          <w:sz w:val="24"/>
          <w:szCs w:val="24"/>
        </w:rPr>
      </w:pPr>
    </w:p>
    <w:p w:rsidR="002A3437" w:rsidRDefault="002A3437" w:rsidP="00C535D9">
      <w:pPr>
        <w:pStyle w:val="standard"/>
        <w:suppressLineNumbers/>
        <w:spacing w:before="0"/>
        <w:ind w:firstLine="709"/>
        <w:rPr>
          <w:b/>
          <w:color w:val="auto"/>
          <w:sz w:val="24"/>
          <w:szCs w:val="24"/>
        </w:rPr>
      </w:pPr>
    </w:p>
    <w:p w:rsidR="00A36A51" w:rsidRDefault="00A36A51" w:rsidP="00C535D9">
      <w:pPr>
        <w:pStyle w:val="standard"/>
        <w:suppressLineNumbers/>
        <w:spacing w:before="0"/>
        <w:ind w:firstLine="709"/>
        <w:rPr>
          <w:b/>
          <w:color w:val="auto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826BB" w:rsidRPr="00CE44FC" w:rsidTr="00544C17">
        <w:tc>
          <w:tcPr>
            <w:tcW w:w="4605" w:type="dxa"/>
          </w:tcPr>
          <w:p w:rsidR="00E826BB" w:rsidRPr="00CE44FC" w:rsidRDefault="00E826BB" w:rsidP="0078088B"/>
        </w:tc>
        <w:tc>
          <w:tcPr>
            <w:tcW w:w="4605" w:type="dxa"/>
          </w:tcPr>
          <w:p w:rsidR="00E826BB" w:rsidRPr="00CE44FC" w:rsidRDefault="00E826BB" w:rsidP="0078088B"/>
        </w:tc>
      </w:tr>
      <w:tr w:rsidR="00E826BB" w:rsidRPr="00CE44FC" w:rsidTr="00544C17">
        <w:tc>
          <w:tcPr>
            <w:tcW w:w="4605" w:type="dxa"/>
          </w:tcPr>
          <w:p w:rsidR="00A33707" w:rsidRDefault="00E1135C" w:rsidP="00C535D9">
            <w:pPr>
              <w:jc w:val="center"/>
            </w:pPr>
            <w:r>
              <w:t xml:space="preserve">Jaromír </w:t>
            </w:r>
            <w:proofErr w:type="spellStart"/>
            <w:r>
              <w:t>Petružálek</w:t>
            </w:r>
            <w:proofErr w:type="spellEnd"/>
            <w:r w:rsidR="0078088B">
              <w:t xml:space="preserve"> v.r.</w:t>
            </w:r>
          </w:p>
          <w:p w:rsidR="00E826BB" w:rsidRPr="00CE44FC" w:rsidRDefault="00E826BB" w:rsidP="00C535D9">
            <w:pPr>
              <w:jc w:val="center"/>
            </w:pPr>
            <w:r w:rsidRPr="00CE44FC">
              <w:t>místostarosta</w:t>
            </w:r>
          </w:p>
        </w:tc>
        <w:tc>
          <w:tcPr>
            <w:tcW w:w="4605" w:type="dxa"/>
          </w:tcPr>
          <w:p w:rsidR="00E826BB" w:rsidRPr="00CE44FC" w:rsidRDefault="00E1135C" w:rsidP="00C535D9">
            <w:pPr>
              <w:jc w:val="center"/>
            </w:pPr>
            <w:r>
              <w:t>Karel Kopecký</w:t>
            </w:r>
            <w:r w:rsidR="0078088B">
              <w:t xml:space="preserve"> v.r.</w:t>
            </w:r>
            <w:bookmarkStart w:id="0" w:name="_GoBack"/>
            <w:bookmarkEnd w:id="0"/>
          </w:p>
          <w:p w:rsidR="00E826BB" w:rsidRPr="00CE44FC" w:rsidRDefault="00E826BB" w:rsidP="00C535D9">
            <w:pPr>
              <w:jc w:val="center"/>
            </w:pPr>
            <w:r w:rsidRPr="00CE44FC">
              <w:t>starosta</w:t>
            </w:r>
          </w:p>
        </w:tc>
      </w:tr>
    </w:tbl>
    <w:p w:rsidR="00C235D1" w:rsidRDefault="00C235D1" w:rsidP="00C535D9">
      <w:pPr>
        <w:pStyle w:val="standard"/>
        <w:suppressLineNumbers/>
        <w:spacing w:before="0"/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2A3437" w:rsidRDefault="002A3437" w:rsidP="00C535D9">
      <w:pPr>
        <w:pStyle w:val="standard"/>
        <w:suppressLineNumbers/>
        <w:spacing w:before="0"/>
        <w:ind w:firstLine="0"/>
        <w:rPr>
          <w:color w:val="auto"/>
          <w:sz w:val="24"/>
          <w:szCs w:val="24"/>
        </w:rPr>
      </w:pPr>
    </w:p>
    <w:p w:rsidR="002A3437" w:rsidRDefault="002A3437" w:rsidP="00C535D9">
      <w:pPr>
        <w:pStyle w:val="standard"/>
        <w:suppressLineNumbers/>
        <w:spacing w:before="0"/>
        <w:ind w:firstLine="0"/>
        <w:rPr>
          <w:color w:val="auto"/>
          <w:sz w:val="24"/>
          <w:szCs w:val="24"/>
        </w:rPr>
      </w:pPr>
    </w:p>
    <w:p w:rsidR="00E1135C" w:rsidRDefault="00E1135C" w:rsidP="00C535D9">
      <w:pPr>
        <w:pStyle w:val="standard"/>
        <w:suppressLineNumbers/>
        <w:spacing w:before="0"/>
        <w:ind w:firstLine="0"/>
        <w:rPr>
          <w:color w:val="auto"/>
          <w:sz w:val="24"/>
          <w:szCs w:val="24"/>
        </w:rPr>
      </w:pPr>
    </w:p>
    <w:sectPr w:rsidR="00E1135C" w:rsidSect="002A343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0AF" w:rsidRDefault="00C900AF" w:rsidP="00C235D1">
      <w:r>
        <w:separator/>
      </w:r>
    </w:p>
  </w:endnote>
  <w:endnote w:type="continuationSeparator" w:id="0">
    <w:p w:rsidR="00C900AF" w:rsidRDefault="00C900AF" w:rsidP="00C2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0AF" w:rsidRDefault="00C900AF" w:rsidP="00C235D1">
      <w:r>
        <w:separator/>
      </w:r>
    </w:p>
  </w:footnote>
  <w:footnote w:type="continuationSeparator" w:id="0">
    <w:p w:rsidR="00C900AF" w:rsidRDefault="00C900AF" w:rsidP="00C235D1">
      <w:r>
        <w:continuationSeparator/>
      </w:r>
    </w:p>
  </w:footnote>
  <w:footnote w:id="1">
    <w:p w:rsidR="00DC5603" w:rsidRPr="004006BB" w:rsidRDefault="00DC5603" w:rsidP="00DC5603">
      <w:pPr>
        <w:pStyle w:val="Textpoznpodarou"/>
        <w:rPr>
          <w:rFonts w:ascii="Times New Roman" w:hAnsi="Times New Roman" w:cs="Times New Roman"/>
        </w:rPr>
      </w:pPr>
      <w:r w:rsidRPr="004006BB">
        <w:rPr>
          <w:rStyle w:val="Znakapoznpodarou"/>
        </w:rPr>
        <w:footnoteRef/>
      </w:r>
      <w:r w:rsidRPr="004006BB">
        <w:rPr>
          <w:rFonts w:ascii="Times New Roman" w:hAnsi="Times New Roman" w:cs="Times New Roman"/>
          <w:vertAlign w:val="superscript"/>
        </w:rPr>
        <w:t>)</w:t>
      </w:r>
      <w:r w:rsidRPr="004006BB">
        <w:rPr>
          <w:rFonts w:ascii="Times New Roman" w:hAnsi="Times New Roman" w:cs="Times New Roman"/>
        </w:rPr>
        <w:t xml:space="preserve"> </w:t>
      </w:r>
      <w:r w:rsidR="004006BB">
        <w:rPr>
          <w:rFonts w:ascii="Times New Roman" w:hAnsi="Times New Roman" w:cs="Times New Roman"/>
        </w:rPr>
        <w:t xml:space="preserve">- </w:t>
      </w:r>
      <w:r w:rsidRPr="004006BB">
        <w:rPr>
          <w:rFonts w:ascii="Times New Roman" w:hAnsi="Times New Roman" w:cs="Times New Roman"/>
        </w:rPr>
        <w:t>budovy pro ro</w:t>
      </w:r>
      <w:r w:rsidR="007724CB">
        <w:rPr>
          <w:rFonts w:ascii="Times New Roman" w:hAnsi="Times New Roman" w:cs="Times New Roman"/>
        </w:rPr>
        <w:t>dinnou rekreaci a budovy rodinných</w:t>
      </w:r>
      <w:r w:rsidRPr="004006BB">
        <w:rPr>
          <w:rFonts w:ascii="Times New Roman" w:hAnsi="Times New Roman" w:cs="Times New Roman"/>
        </w:rPr>
        <w:t xml:space="preserve"> dom</w:t>
      </w:r>
      <w:r w:rsidR="007724CB">
        <w:rPr>
          <w:rFonts w:ascii="Times New Roman" w:hAnsi="Times New Roman" w:cs="Times New Roman"/>
        </w:rPr>
        <w:t>ů</w:t>
      </w:r>
      <w:r w:rsidRPr="004006BB">
        <w:rPr>
          <w:rFonts w:ascii="Times New Roman" w:hAnsi="Times New Roman" w:cs="Times New Roman"/>
        </w:rPr>
        <w:t xml:space="preserve"> využívané pro rodinnou rekreaci a budovy, které plní doplňkovou funkci k </w:t>
      </w:r>
      <w:r w:rsidR="007724CB">
        <w:rPr>
          <w:rFonts w:ascii="Times New Roman" w:hAnsi="Times New Roman" w:cs="Times New Roman"/>
        </w:rPr>
        <w:t>těmto budovám, s výjimkou garáží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41EB6"/>
    <w:multiLevelType w:val="hybridMultilevel"/>
    <w:tmpl w:val="4A52B5C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A1CAC"/>
    <w:multiLevelType w:val="hybridMultilevel"/>
    <w:tmpl w:val="D4D21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3F94"/>
    <w:multiLevelType w:val="hybridMultilevel"/>
    <w:tmpl w:val="AABC7986"/>
    <w:lvl w:ilvl="0" w:tplc="2CBCB56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35D1"/>
    <w:rsid w:val="00000AFF"/>
    <w:rsid w:val="00017798"/>
    <w:rsid w:val="0002346B"/>
    <w:rsid w:val="00025E9D"/>
    <w:rsid w:val="000F36F5"/>
    <w:rsid w:val="00210161"/>
    <w:rsid w:val="0024022A"/>
    <w:rsid w:val="00255809"/>
    <w:rsid w:val="0027283B"/>
    <w:rsid w:val="002A3437"/>
    <w:rsid w:val="002B0D85"/>
    <w:rsid w:val="00316D8A"/>
    <w:rsid w:val="00370D3D"/>
    <w:rsid w:val="003E39B7"/>
    <w:rsid w:val="004006BB"/>
    <w:rsid w:val="00402134"/>
    <w:rsid w:val="0041453B"/>
    <w:rsid w:val="0046225C"/>
    <w:rsid w:val="004962D8"/>
    <w:rsid w:val="004D4978"/>
    <w:rsid w:val="00544C17"/>
    <w:rsid w:val="005B2A5A"/>
    <w:rsid w:val="00665DDF"/>
    <w:rsid w:val="00675F47"/>
    <w:rsid w:val="00704516"/>
    <w:rsid w:val="007724CB"/>
    <w:rsid w:val="0078088B"/>
    <w:rsid w:val="00784960"/>
    <w:rsid w:val="007C72F8"/>
    <w:rsid w:val="008567C9"/>
    <w:rsid w:val="008A68AB"/>
    <w:rsid w:val="008F7FE1"/>
    <w:rsid w:val="00927A7B"/>
    <w:rsid w:val="009F05EA"/>
    <w:rsid w:val="00A067B6"/>
    <w:rsid w:val="00A33707"/>
    <w:rsid w:val="00A36A51"/>
    <w:rsid w:val="00A779B5"/>
    <w:rsid w:val="00AE7A5B"/>
    <w:rsid w:val="00AF4CA9"/>
    <w:rsid w:val="00B02B8F"/>
    <w:rsid w:val="00B70AC9"/>
    <w:rsid w:val="00BF6142"/>
    <w:rsid w:val="00C235D1"/>
    <w:rsid w:val="00C253B1"/>
    <w:rsid w:val="00C535D9"/>
    <w:rsid w:val="00C74332"/>
    <w:rsid w:val="00C900AF"/>
    <w:rsid w:val="00C9237C"/>
    <w:rsid w:val="00CB7BBE"/>
    <w:rsid w:val="00CD2B9B"/>
    <w:rsid w:val="00CD71C6"/>
    <w:rsid w:val="00CF14E1"/>
    <w:rsid w:val="00DA4130"/>
    <w:rsid w:val="00DC5603"/>
    <w:rsid w:val="00DC659C"/>
    <w:rsid w:val="00DE6F7A"/>
    <w:rsid w:val="00E1135C"/>
    <w:rsid w:val="00E64AE4"/>
    <w:rsid w:val="00E826BB"/>
    <w:rsid w:val="00F72B98"/>
    <w:rsid w:val="00F8674E"/>
    <w:rsid w:val="00FA6883"/>
    <w:rsid w:val="00FB53A0"/>
    <w:rsid w:val="00F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3405E"/>
  <w15:chartTrackingRefBased/>
  <w15:docId w15:val="{C265FF91-BF1D-4E32-A894-C9DA33C2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235D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235D1"/>
    <w:pPr>
      <w:keepNext/>
      <w:jc w:val="center"/>
      <w:outlineLvl w:val="0"/>
    </w:pPr>
    <w:rPr>
      <w:b/>
      <w:bCs/>
      <w:smallCap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235D1"/>
    <w:rPr>
      <w:rFonts w:ascii="Times New Roman" w:eastAsia="Times New Roman" w:hAnsi="Times New Roman" w:cs="Times New Roman"/>
      <w:b/>
      <w:bCs/>
      <w:smallCaps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nhideWhenUsed/>
    <w:rsid w:val="00C235D1"/>
    <w:rPr>
      <w:rFonts w:ascii="Arial" w:hAnsi="Arial" w:cs="Arial"/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C235D1"/>
    <w:rPr>
      <w:rFonts w:ascii="Arial" w:eastAsia="Times New Roman" w:hAnsi="Arial" w:cs="Arial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235D1"/>
    <w:pPr>
      <w:adjustRightInd w:val="0"/>
      <w:spacing w:line="240" w:lineRule="atLeast"/>
      <w:jc w:val="both"/>
    </w:pPr>
    <w:rPr>
      <w:color w:val="000000"/>
      <w:sz w:val="20"/>
      <w:szCs w:val="20"/>
    </w:rPr>
  </w:style>
  <w:style w:type="character" w:customStyle="1" w:styleId="ZkladntextChar">
    <w:name w:val="Základní text Char"/>
    <w:link w:val="Zkladntext"/>
    <w:semiHidden/>
    <w:rsid w:val="00C235D1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customStyle="1" w:styleId="obyejn">
    <w:name w:val="obyčejný"/>
    <w:rsid w:val="00C235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FAD17C"/>
    </w:rPr>
  </w:style>
  <w:style w:type="paragraph" w:customStyle="1" w:styleId="standard">
    <w:name w:val="standard"/>
    <w:basedOn w:val="Normln"/>
    <w:rsid w:val="00C235D1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styleId="Znakapoznpodarou">
    <w:name w:val="footnote reference"/>
    <w:unhideWhenUsed/>
    <w:rsid w:val="00C235D1"/>
    <w:rPr>
      <w:rFonts w:ascii="Times New Roman" w:hAnsi="Times New Roman" w:cs="Times New Roman" w:hint="default"/>
      <w:vertAlign w:val="superscript"/>
    </w:rPr>
  </w:style>
  <w:style w:type="table" w:styleId="Mkatabulky">
    <w:name w:val="Table Grid"/>
    <w:basedOn w:val="Normlntabulka"/>
    <w:rsid w:val="00C235D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8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B5912-DF15-44B1-AC4B-24C98E996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Uzivatel</cp:lastModifiedBy>
  <cp:revision>3</cp:revision>
  <cp:lastPrinted>2014-02-03T08:23:00Z</cp:lastPrinted>
  <dcterms:created xsi:type="dcterms:W3CDTF">2023-10-19T06:13:00Z</dcterms:created>
  <dcterms:modified xsi:type="dcterms:W3CDTF">2023-10-19T06:16:00Z</dcterms:modified>
</cp:coreProperties>
</file>