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87839" w14:textId="77777777" w:rsidR="006409D2" w:rsidRPr="007175BD" w:rsidRDefault="006409D2" w:rsidP="006409D2">
      <w:pPr>
        <w:spacing w:line="312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/>
          <w:noProof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28AC553C" wp14:editId="03E3116F">
            <wp:simplePos x="0" y="0"/>
            <wp:positionH relativeFrom="column">
              <wp:posOffset>-26670</wp:posOffset>
            </wp:positionH>
            <wp:positionV relativeFrom="paragraph">
              <wp:posOffset>-142875</wp:posOffset>
            </wp:positionV>
            <wp:extent cx="554990" cy="608965"/>
            <wp:effectExtent l="0" t="0" r="0" b="63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5BD">
        <w:rPr>
          <w:rFonts w:ascii="Century Gothic" w:hAnsi="Century Gothic" w:cs="Arial"/>
          <w:b/>
          <w:sz w:val="32"/>
          <w:szCs w:val="32"/>
        </w:rPr>
        <w:t>OBEC ŽĎÁR NAD METUJÍ </w:t>
      </w:r>
    </w:p>
    <w:p w14:paraId="37591F2A" w14:textId="77777777" w:rsidR="002A7978" w:rsidRDefault="006409D2" w:rsidP="006409D2">
      <w:pPr>
        <w:pStyle w:val="Zkladntext"/>
        <w:jc w:val="center"/>
      </w:pPr>
      <w:r w:rsidRPr="007175BD">
        <w:rPr>
          <w:rFonts w:ascii="Century Gothic" w:hAnsi="Century Gothic" w:cs="Arial"/>
          <w:b/>
          <w:sz w:val="32"/>
          <w:szCs w:val="32"/>
        </w:rPr>
        <w:t>Zastupitelstvo obce</w:t>
      </w:r>
    </w:p>
    <w:p w14:paraId="710D5CDB" w14:textId="77777777" w:rsidR="006409D2" w:rsidRDefault="006409D2" w:rsidP="006409D2">
      <w:pPr>
        <w:pStyle w:val="Nadpis1"/>
        <w:pBdr>
          <w:top w:val="single" w:sz="4" w:space="1" w:color="auto"/>
        </w:pBdr>
      </w:pPr>
    </w:p>
    <w:p w14:paraId="28B02C28" w14:textId="30036F03" w:rsid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t>Obecně závazná vyhláška</w:t>
      </w:r>
      <w:r w:rsidR="008F7A56">
        <w:rPr>
          <w:rFonts w:ascii="Century Gothic" w:hAnsi="Century Gothic"/>
        </w:rPr>
        <w:t xml:space="preserve"> č</w:t>
      </w:r>
      <w:r w:rsidR="00AD3A54">
        <w:rPr>
          <w:rFonts w:ascii="Century Gothic" w:hAnsi="Century Gothic"/>
        </w:rPr>
        <w:t xml:space="preserve">. </w:t>
      </w:r>
    </w:p>
    <w:p w14:paraId="099AB1E8" w14:textId="77777777" w:rsidR="002A7978" w:rsidRPr="006409D2" w:rsidRDefault="007C163B" w:rsidP="006409D2">
      <w:pPr>
        <w:pStyle w:val="Nadpis1"/>
        <w:pBdr>
          <w:top w:val="single" w:sz="4" w:space="1" w:color="auto"/>
        </w:pBdr>
        <w:rPr>
          <w:rFonts w:ascii="Century Gothic" w:hAnsi="Century Gothic"/>
        </w:rPr>
      </w:pPr>
      <w:r w:rsidRPr="006409D2">
        <w:rPr>
          <w:rFonts w:ascii="Century Gothic" w:hAnsi="Century Gothic"/>
        </w:rPr>
        <w:br/>
        <w:t>o místním poplatku za obecní systém odpadového hospodářství</w:t>
      </w:r>
    </w:p>
    <w:p w14:paraId="22BA21C3" w14:textId="2E7EEE7A" w:rsidR="00AD3A54" w:rsidRPr="00AD3A54" w:rsidRDefault="00AD3A54" w:rsidP="00AD3A54">
      <w:pPr>
        <w:pStyle w:val="UvodniVeta"/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 xml:space="preserve">Zastupitelstvo obce ŽĎÁR NAD METUJÍ se na svém zasedání dne 9. prosince 2024 </w:t>
      </w:r>
      <w:r>
        <w:rPr>
          <w:rFonts w:ascii="Century Gothic" w:hAnsi="Century Gothic"/>
          <w:sz w:val="20"/>
          <w:szCs w:val="20"/>
        </w:rPr>
        <w:t xml:space="preserve">usnesením č. 33/2024 </w:t>
      </w:r>
      <w:r w:rsidRPr="00AD3A54">
        <w:rPr>
          <w:rFonts w:ascii="Century Gothic" w:hAnsi="Century Gothic"/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ADEFE8" w14:textId="77777777" w:rsidR="00AD3A54" w:rsidRPr="00AD3A54" w:rsidRDefault="00AD3A54" w:rsidP="00AD3A54">
      <w:pPr>
        <w:pStyle w:val="UvodniVeta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1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Úvodní ustanovení</w:t>
      </w:r>
    </w:p>
    <w:p w14:paraId="00D98EB9" w14:textId="77777777" w:rsidR="00AD3A54" w:rsidRPr="00AD3A54" w:rsidRDefault="00AD3A54" w:rsidP="00AD3A54">
      <w:pPr>
        <w:pStyle w:val="UvodniVeta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Obec ŽĎÁR NAD METUJÍ touto vyhláškou zavádí místní poplatek za obecní systém odpadového hospodářství (dále jen „poplatek“).</w:t>
      </w:r>
    </w:p>
    <w:p w14:paraId="3544F0DA" w14:textId="77777777" w:rsidR="00AD3A54" w:rsidRPr="00AD3A54" w:rsidRDefault="00AD3A54" w:rsidP="00AD3A54">
      <w:pPr>
        <w:pStyle w:val="UvodniVeta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Poplatkovým obdobím poplatku je kalendářní rok</w:t>
      </w:r>
      <w:bookmarkStart w:id="0" w:name="sdfootnote1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"sdfootnote1sym"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1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0"/>
      <w:r w:rsidRPr="00AD3A54">
        <w:rPr>
          <w:rFonts w:ascii="Century Gothic" w:hAnsi="Century Gothic"/>
          <w:sz w:val="20"/>
          <w:szCs w:val="20"/>
        </w:rPr>
        <w:t>.</w:t>
      </w:r>
    </w:p>
    <w:p w14:paraId="30D8A407" w14:textId="77777777" w:rsidR="00AD3A54" w:rsidRPr="00AD3A54" w:rsidRDefault="00AD3A54" w:rsidP="00AD3A54">
      <w:pPr>
        <w:pStyle w:val="UvodniVeta"/>
        <w:numPr>
          <w:ilvl w:val="0"/>
          <w:numId w:val="15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Správcem poplatku je obecní úřad</w:t>
      </w:r>
      <w:bookmarkStart w:id="1" w:name="sdfootnote2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"sdfootnote2sym"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2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1"/>
      <w:r w:rsidRPr="00AD3A54">
        <w:rPr>
          <w:rFonts w:ascii="Century Gothic" w:hAnsi="Century Gothic"/>
          <w:sz w:val="20"/>
          <w:szCs w:val="20"/>
        </w:rPr>
        <w:t>.</w:t>
      </w:r>
    </w:p>
    <w:p w14:paraId="021974CE" w14:textId="77777777" w:rsidR="00AD3A54" w:rsidRPr="00AD3A54" w:rsidRDefault="00AD3A54" w:rsidP="00AD3A54">
      <w:pPr>
        <w:pStyle w:val="UvodniVeta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2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Poplatník</w:t>
      </w:r>
    </w:p>
    <w:p w14:paraId="25A2ACE9" w14:textId="77777777" w:rsidR="00AD3A54" w:rsidRPr="00AD3A54" w:rsidRDefault="00AD3A54" w:rsidP="00AD3A54">
      <w:pPr>
        <w:pStyle w:val="UvodniVeta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Poplatníkem poplatku je</w:t>
      </w:r>
      <w:bookmarkStart w:id="2" w:name="sdfootnote3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"sdfootnote3sym"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3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2"/>
    </w:p>
    <w:p w14:paraId="6CD02CF7" w14:textId="77777777" w:rsidR="00AD3A54" w:rsidRPr="00AD3A54" w:rsidRDefault="00AD3A54" w:rsidP="00AD3A54">
      <w:pPr>
        <w:pStyle w:val="UvodniVeta"/>
        <w:numPr>
          <w:ilvl w:val="1"/>
          <w:numId w:val="16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fyzická osoba přihlášená v obci</w:t>
      </w:r>
      <w:bookmarkStart w:id="3" w:name="sdfootnote4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"sdfootnote4sym"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4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3"/>
    </w:p>
    <w:p w14:paraId="0959EF6A" w14:textId="77777777" w:rsidR="00AD3A54" w:rsidRPr="00AD3A54" w:rsidRDefault="00AD3A54" w:rsidP="00AD3A54">
      <w:pPr>
        <w:pStyle w:val="UvodniVeta"/>
        <w:numPr>
          <w:ilvl w:val="1"/>
          <w:numId w:val="16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5A427220" w14:textId="77777777" w:rsidR="00AD3A54" w:rsidRPr="00AD3A54" w:rsidRDefault="00AD3A54" w:rsidP="00AD3A54">
      <w:pPr>
        <w:pStyle w:val="UvodniVeta"/>
        <w:numPr>
          <w:ilvl w:val="0"/>
          <w:numId w:val="16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"sdfootnote5sym"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5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4"/>
      <w:r w:rsidRPr="00AD3A54">
        <w:rPr>
          <w:rFonts w:ascii="Century Gothic" w:hAnsi="Century Gothic"/>
          <w:sz w:val="20"/>
          <w:szCs w:val="20"/>
        </w:rPr>
        <w:t>.</w:t>
      </w:r>
    </w:p>
    <w:p w14:paraId="42210D71" w14:textId="77777777" w:rsidR="00AD3A54" w:rsidRPr="00AD3A54" w:rsidRDefault="00AD3A54" w:rsidP="00AD3A54">
      <w:pPr>
        <w:pStyle w:val="UvodniVeta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3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Ohlašovací povinnost</w:t>
      </w:r>
    </w:p>
    <w:p w14:paraId="090D7D66" w14:textId="77777777" w:rsidR="00AD3A54" w:rsidRPr="00AD3A54" w:rsidRDefault="00AD3A54" w:rsidP="00AD3A54">
      <w:pPr>
        <w:pStyle w:val="UvodniVeta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bookmarkStart w:id="5" w:name="sdfootnote6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"sdfootnote6sym"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6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5"/>
      <w:r w:rsidRPr="00AD3A54">
        <w:rPr>
          <w:rFonts w:ascii="Century Gothic" w:hAnsi="Century Gothic"/>
          <w:sz w:val="20"/>
          <w:szCs w:val="20"/>
        </w:rPr>
        <w:t>.</w:t>
      </w:r>
    </w:p>
    <w:p w14:paraId="299C766D" w14:textId="77777777" w:rsidR="00AD3A54" w:rsidRDefault="00AD3A54" w:rsidP="00AD3A54">
      <w:pPr>
        <w:pStyle w:val="UvodniVeta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Dojde-li ke změně údajů uvedených v ohlášení, je poplatník povinen tuto změnu oznámit do 15 dnů ode dne, kdy nastala</w:t>
      </w:r>
      <w:bookmarkStart w:id="6" w:name="sdfootnote7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"sdfootnote7sym"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7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6"/>
      <w:r w:rsidRPr="00AD3A54">
        <w:rPr>
          <w:rFonts w:ascii="Century Gothic" w:hAnsi="Century Gothic"/>
          <w:sz w:val="20"/>
          <w:szCs w:val="20"/>
        </w:rPr>
        <w:t>.</w:t>
      </w:r>
    </w:p>
    <w:p w14:paraId="6EF00B72" w14:textId="4A8D4BA9" w:rsidR="00AD3A54" w:rsidRPr="00AD3A54" w:rsidRDefault="00AD3A54" w:rsidP="00AD3A54">
      <w:pPr>
        <w:pStyle w:val="UvodniVeta"/>
        <w:jc w:val="center"/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4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Sazba poplatku</w:t>
      </w:r>
    </w:p>
    <w:p w14:paraId="09F418E4" w14:textId="77777777" w:rsidR="00AD3A54" w:rsidRPr="00AD3A54" w:rsidRDefault="00AD3A54" w:rsidP="00AD3A54">
      <w:pPr>
        <w:pStyle w:val="UvodniVe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Sazba poplatku za kalendářní rok činí 850 Kč.</w:t>
      </w:r>
    </w:p>
    <w:p w14:paraId="746B9BB2" w14:textId="77777777" w:rsidR="00AD3A54" w:rsidRPr="00AD3A54" w:rsidRDefault="00AD3A54" w:rsidP="00AD3A54">
      <w:pPr>
        <w:pStyle w:val="UvodniVe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"sdfootnote8sym"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8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7"/>
    </w:p>
    <w:p w14:paraId="5F40F6B2" w14:textId="77777777" w:rsidR="00AD3A54" w:rsidRPr="00AD3A54" w:rsidRDefault="00AD3A54" w:rsidP="00AD3A54">
      <w:pPr>
        <w:pStyle w:val="UvodniVeta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není tato fyzická osoba přihlášena v obci,</w:t>
      </w:r>
    </w:p>
    <w:p w14:paraId="5A44EE64" w14:textId="77777777" w:rsidR="00AD3A54" w:rsidRPr="00AD3A54" w:rsidRDefault="00AD3A54" w:rsidP="00AD3A54">
      <w:pPr>
        <w:pStyle w:val="UvodniVeta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nebo je tato fyzická osoba od poplatku osvobozena.</w:t>
      </w:r>
    </w:p>
    <w:p w14:paraId="217A6977" w14:textId="77777777" w:rsidR="00AD3A54" w:rsidRPr="00AD3A54" w:rsidRDefault="00AD3A54" w:rsidP="00AD3A54">
      <w:pPr>
        <w:pStyle w:val="UvodniVeta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lastRenderedPageBreak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"sdfootnote9sym"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9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8"/>
    </w:p>
    <w:p w14:paraId="702CCCB9" w14:textId="77777777" w:rsidR="00AD3A54" w:rsidRPr="00AD3A54" w:rsidRDefault="00AD3A54" w:rsidP="00AD3A54">
      <w:pPr>
        <w:pStyle w:val="UvodniVeta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je v této nemovité věci přihlášena alespoň 1 fyzická osoba,</w:t>
      </w:r>
    </w:p>
    <w:p w14:paraId="01B6D4E4" w14:textId="77777777" w:rsidR="00AD3A54" w:rsidRPr="00AD3A54" w:rsidRDefault="00AD3A54" w:rsidP="00AD3A54">
      <w:pPr>
        <w:pStyle w:val="UvodniVeta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poplatník nevlastní tuto nemovitou věc,</w:t>
      </w:r>
    </w:p>
    <w:p w14:paraId="5E11CFB8" w14:textId="77777777" w:rsidR="00AD3A54" w:rsidRPr="00AD3A54" w:rsidRDefault="00AD3A54" w:rsidP="00AD3A54">
      <w:pPr>
        <w:pStyle w:val="UvodniVeta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nebo je poplatník od poplatku osvobozen.</w:t>
      </w:r>
    </w:p>
    <w:p w14:paraId="6C5ABC15" w14:textId="77777777" w:rsidR="00AD3A54" w:rsidRPr="00AD3A54" w:rsidRDefault="00AD3A54" w:rsidP="00AD3A54">
      <w:pPr>
        <w:pStyle w:val="UvodniVeta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5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Splatnost poplatku</w:t>
      </w:r>
    </w:p>
    <w:p w14:paraId="6FEE543B" w14:textId="77777777" w:rsidR="00AD3A54" w:rsidRPr="00AD3A54" w:rsidRDefault="00AD3A54" w:rsidP="00AD3A54">
      <w:pPr>
        <w:pStyle w:val="UvodniVeta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Poplatek je splatný buď jednorázově v termínu do 31. března, nebo ve dvou stejných splátkách, nejpozději v termínech do 31. března a 30. září příslušného kalendářního roku.</w:t>
      </w:r>
    </w:p>
    <w:p w14:paraId="25225D23" w14:textId="77777777" w:rsidR="00AD3A54" w:rsidRPr="00AD3A54" w:rsidRDefault="00AD3A54" w:rsidP="00AD3A54">
      <w:pPr>
        <w:pStyle w:val="UvodniVeta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Vznikne-li poplatková povinnost po 31. březnu, je poplatek splatný nejpozději do konce měsíce, který následuje po měsíci, ve kterém poplatková povinnost vznikla.</w:t>
      </w:r>
    </w:p>
    <w:p w14:paraId="325BCB60" w14:textId="77777777" w:rsidR="00AD3A54" w:rsidRPr="00AD3A54" w:rsidRDefault="00AD3A54" w:rsidP="00AD3A54">
      <w:pPr>
        <w:pStyle w:val="UvodniVeta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Lhůta splatnosti neskončí poplatníkovi dříve než lhůta pro podání ohlášení podle čl. 3 odst. 1 této vyhlášky.</w:t>
      </w:r>
    </w:p>
    <w:p w14:paraId="0695FC8B" w14:textId="7277F9E1" w:rsidR="00AD3A54" w:rsidRPr="00AD3A54" w:rsidRDefault="00AD3A54" w:rsidP="00AD3A54">
      <w:pPr>
        <w:pStyle w:val="UvodniVeta"/>
        <w:ind w:left="360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6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Osvobození a úlevy</w:t>
      </w:r>
    </w:p>
    <w:p w14:paraId="43060BBB" w14:textId="77777777" w:rsidR="00AD3A54" w:rsidRPr="00AD3A54" w:rsidRDefault="00AD3A54" w:rsidP="00AD3A54">
      <w:pPr>
        <w:pStyle w:val="UvodniVeta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Od poplatku je osvobozena osoba, které poplatková povinnost vznikla z důvodu přihlášení v obci a která je</w:t>
      </w:r>
      <w:bookmarkStart w:id="9" w:name="sdfootnote10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"sdfootnote10sym"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10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9"/>
      <w:r w:rsidRPr="00AD3A54">
        <w:rPr>
          <w:rFonts w:ascii="Century Gothic" w:hAnsi="Century Gothic"/>
          <w:sz w:val="20"/>
          <w:szCs w:val="20"/>
        </w:rPr>
        <w:t>:</w:t>
      </w:r>
    </w:p>
    <w:p w14:paraId="59FCD75A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poplatníkem poplatku za odkládání komunálního odpadu z nemovité věci v jiné obci a má v této jiné obci bydliště,</w:t>
      </w:r>
    </w:p>
    <w:p w14:paraId="53DE9067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C56B129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D74165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10F48ED2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nebo na základě zákona omezena na osobní svobodě s výjimkou osoby vykonávající trest domácího vězení.</w:t>
      </w:r>
    </w:p>
    <w:p w14:paraId="1117BA93" w14:textId="77777777" w:rsidR="00AD3A54" w:rsidRPr="00AD3A54" w:rsidRDefault="00AD3A54" w:rsidP="00AD3A54">
      <w:pPr>
        <w:pStyle w:val="UvodniVeta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Od poplatku se osvobozuje osoba, které poplatková povinnost vznikla z důvodu přihlášení v obci a která:</w:t>
      </w:r>
    </w:p>
    <w:p w14:paraId="565D5A4A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je přihlášená na sídle ohlašovny,</w:t>
      </w:r>
    </w:p>
    <w:p w14:paraId="565DAE42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se po dobu celého kalendářního roku (od 1.ledna do 31.prosince příslušného roku) zdržuje mimo území obce.</w:t>
      </w:r>
    </w:p>
    <w:p w14:paraId="62F310F6" w14:textId="77777777" w:rsidR="00AD3A54" w:rsidRPr="00AD3A54" w:rsidRDefault="00AD3A54" w:rsidP="00AD3A54">
      <w:pPr>
        <w:pStyle w:val="UvodniVeta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osoba, a která se nachází na území této obce, a která je zároveň poplatníkem dle čl.2 odst.1 písm. a), a to od poplatku dle čl.2 odst.1 písm. b).</w:t>
      </w:r>
    </w:p>
    <w:p w14:paraId="21DE984B" w14:textId="77777777" w:rsidR="00AD3A54" w:rsidRPr="00AD3A54" w:rsidRDefault="00AD3A54" w:rsidP="00AD3A54">
      <w:pPr>
        <w:pStyle w:val="UvodniVeta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Úleva se poskytuje osobě, které poplatková povinnost vznikla z důvodu přihlášení v obci, a která:</w:t>
      </w:r>
    </w:p>
    <w:p w14:paraId="73853070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je osobou studující v denní či prezenční formě studia a v průběhu studia je ubytována mimo území obce, ve výši 150 Kč z celkové sazby poplatku,</w:t>
      </w:r>
    </w:p>
    <w:p w14:paraId="57A0258F" w14:textId="77777777" w:rsidR="00AD3A54" w:rsidRPr="00AD3A54" w:rsidRDefault="00AD3A54" w:rsidP="00AD3A54">
      <w:pPr>
        <w:pStyle w:val="UvodniVeta"/>
        <w:numPr>
          <w:ilvl w:val="1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lastRenderedPageBreak/>
        <w:t>je narozená v příslušném kalendářním roce, ve výši 50 % z celkové sazby poplatku.</w:t>
      </w:r>
    </w:p>
    <w:p w14:paraId="35CDB5F1" w14:textId="77777777" w:rsidR="00AD3A54" w:rsidRPr="00AD3A54" w:rsidRDefault="00AD3A54" w:rsidP="00AD3A54">
      <w:pPr>
        <w:pStyle w:val="UvodniVeta"/>
        <w:numPr>
          <w:ilvl w:val="0"/>
          <w:numId w:val="20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bookmarkStart w:id="10" w:name="sdfootnote11anc"/>
      <w:r w:rsidRPr="00AD3A54">
        <w:rPr>
          <w:rFonts w:ascii="Century Gothic" w:hAnsi="Century Gothic"/>
          <w:sz w:val="20"/>
          <w:szCs w:val="20"/>
        </w:rPr>
        <w:fldChar w:fldCharType="begin"/>
      </w:r>
      <w:r w:rsidRPr="00AD3A54">
        <w:rPr>
          <w:rFonts w:ascii="Century Gothic" w:hAnsi="Century Gothic"/>
          <w:sz w:val="20"/>
          <w:szCs w:val="20"/>
        </w:rPr>
        <w:instrText>HYPERLINK "" \l "sdfootnote11sym"</w:instrText>
      </w:r>
      <w:r w:rsidRPr="00AD3A54">
        <w:rPr>
          <w:rFonts w:ascii="Century Gothic" w:hAnsi="Century Gothic"/>
          <w:sz w:val="20"/>
          <w:szCs w:val="20"/>
        </w:rPr>
      </w:r>
      <w:r w:rsidRPr="00AD3A54">
        <w:rPr>
          <w:rFonts w:ascii="Century Gothic" w:hAnsi="Century Gothic"/>
          <w:sz w:val="20"/>
          <w:szCs w:val="20"/>
        </w:rPr>
        <w:fldChar w:fldCharType="separate"/>
      </w:r>
      <w:r w:rsidRPr="00AD3A54">
        <w:rPr>
          <w:rStyle w:val="Hypertextovodkaz"/>
          <w:rFonts w:ascii="Century Gothic" w:hAnsi="Century Gothic"/>
          <w:sz w:val="20"/>
          <w:szCs w:val="20"/>
          <w:vertAlign w:val="superscript"/>
        </w:rPr>
        <w:t>11</w:t>
      </w:r>
      <w:r w:rsidRPr="00AD3A54">
        <w:rPr>
          <w:rFonts w:ascii="Century Gothic" w:hAnsi="Century Gothic"/>
          <w:sz w:val="20"/>
          <w:szCs w:val="20"/>
        </w:rPr>
        <w:fldChar w:fldCharType="end"/>
      </w:r>
      <w:bookmarkEnd w:id="10"/>
      <w:r w:rsidRPr="00AD3A54">
        <w:rPr>
          <w:rFonts w:ascii="Century Gothic" w:hAnsi="Century Gothic"/>
          <w:sz w:val="20"/>
          <w:szCs w:val="20"/>
        </w:rPr>
        <w:t>.</w:t>
      </w:r>
    </w:p>
    <w:p w14:paraId="2FC9B3F8" w14:textId="77777777" w:rsidR="00AD3A54" w:rsidRPr="00AD3A54" w:rsidRDefault="00AD3A54" w:rsidP="00AD3A54">
      <w:pPr>
        <w:pStyle w:val="UvodniVeta"/>
        <w:ind w:left="360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7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Přechodné a zrušovací ustanovení</w:t>
      </w:r>
    </w:p>
    <w:p w14:paraId="680A0DA1" w14:textId="77777777" w:rsidR="00AD3A54" w:rsidRPr="00AD3A54" w:rsidRDefault="00AD3A54" w:rsidP="00AD3A54">
      <w:pPr>
        <w:pStyle w:val="UvodniVeta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Poplatkové povinnosti vzniklé před nabytím účinnosti této vyhlášky se posuzují podle dosavadních právních předpisů.</w:t>
      </w:r>
    </w:p>
    <w:p w14:paraId="64B9BFD7" w14:textId="77777777" w:rsidR="00AD3A54" w:rsidRPr="00AD3A54" w:rsidRDefault="00AD3A54" w:rsidP="00AD3A54">
      <w:pPr>
        <w:pStyle w:val="UvodniVeta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Zrušuje se obecně závazná vyhláška č. 4/2023, o místním poplatku za obecní systém odpadového hospodářství, ze dne 11. prosince 2023.</w:t>
      </w:r>
    </w:p>
    <w:p w14:paraId="45017997" w14:textId="77777777" w:rsidR="00AD3A54" w:rsidRPr="00AD3A54" w:rsidRDefault="00AD3A54" w:rsidP="00AD3A54">
      <w:pPr>
        <w:pStyle w:val="UvodniVeta"/>
        <w:jc w:val="center"/>
        <w:rPr>
          <w:rFonts w:ascii="Century Gothic" w:hAnsi="Century Gothic"/>
          <w:b/>
          <w:bCs/>
          <w:sz w:val="20"/>
          <w:szCs w:val="20"/>
        </w:rPr>
      </w:pPr>
      <w:r w:rsidRPr="00AD3A54">
        <w:rPr>
          <w:rFonts w:ascii="Century Gothic" w:hAnsi="Century Gothic"/>
          <w:b/>
          <w:bCs/>
          <w:sz w:val="20"/>
          <w:szCs w:val="20"/>
        </w:rPr>
        <w:t>Čl. 8</w:t>
      </w:r>
      <w:r w:rsidRPr="00AD3A54">
        <w:rPr>
          <w:rFonts w:ascii="Century Gothic" w:hAnsi="Century Gothic"/>
          <w:b/>
          <w:bCs/>
          <w:sz w:val="20"/>
          <w:szCs w:val="20"/>
        </w:rPr>
        <w:br/>
        <w:t>Účinnost</w:t>
      </w:r>
    </w:p>
    <w:p w14:paraId="64A27191" w14:textId="77777777" w:rsidR="00AD3A54" w:rsidRPr="00AD3A54" w:rsidRDefault="00AD3A54" w:rsidP="00AD3A54">
      <w:pPr>
        <w:pStyle w:val="UvodniVeta"/>
        <w:rPr>
          <w:rFonts w:ascii="Century Gothic" w:hAnsi="Century Gothic"/>
          <w:sz w:val="20"/>
          <w:szCs w:val="20"/>
        </w:rPr>
      </w:pPr>
      <w:r w:rsidRPr="00AD3A54">
        <w:rPr>
          <w:rFonts w:ascii="Century Gothic" w:hAnsi="Century Gothic"/>
          <w:sz w:val="20"/>
          <w:szCs w:val="20"/>
        </w:rPr>
        <w:t>Tato vyhláška nabývá účinnosti dnem 1. ledna 2025.</w:t>
      </w:r>
    </w:p>
    <w:p w14:paraId="6B432815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1CEB0C10" w14:textId="52BF63AC" w:rsidR="00AD3A54" w:rsidRDefault="00AD3A54" w:rsidP="00AD3A54">
      <w:pPr>
        <w:pStyle w:val="UvodniVeta"/>
        <w:pBdr>
          <w:bottom w:val="single" w:sz="4" w:space="1" w:color="auto"/>
        </w:pBd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Pavel Šubíř v.r.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František Dostál v.r.</w:t>
      </w:r>
    </w:p>
    <w:p w14:paraId="545A070A" w14:textId="0C814C6A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starosta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místostarosta </w:t>
      </w:r>
    </w:p>
    <w:p w14:paraId="43CCD10F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14C20891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1B089B3A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13ECEEB7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47A8364A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5BC06F99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5A5301AA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0F043F36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5B02D38D" w14:textId="77777777" w:rsid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p w14:paraId="1EACFD03" w14:textId="77777777" w:rsidR="00AD3A54" w:rsidRPr="00AD3A54" w:rsidRDefault="00AD3A54" w:rsidP="00AD3A54">
      <w:pPr>
        <w:pStyle w:val="UvodniVeta"/>
        <w:pBdr>
          <w:bottom w:val="single" w:sz="4" w:space="1" w:color="auto"/>
        </w:pBdr>
        <w:rPr>
          <w:rFonts w:ascii="Century Gothic" w:hAnsi="Century Gothic"/>
          <w:sz w:val="20"/>
          <w:szCs w:val="20"/>
        </w:rPr>
      </w:pPr>
    </w:p>
    <w:bookmarkStart w:id="11" w:name="sdfootnote1sym"/>
    <w:p w14:paraId="0A65AFC8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"sdfootnote1anc"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1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1"/>
      <w:r w:rsidRPr="00AD3A54">
        <w:rPr>
          <w:rFonts w:ascii="Century Gothic" w:hAnsi="Century Gothic"/>
          <w:sz w:val="16"/>
          <w:szCs w:val="16"/>
        </w:rPr>
        <w:t>§ 10o odst. 1 zákona o místních poplatcích</w:t>
      </w:r>
    </w:p>
    <w:bookmarkStart w:id="12" w:name="sdfootnote2sym"/>
    <w:p w14:paraId="7A1552C3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"sdfootnote2anc"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2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2"/>
      <w:r w:rsidRPr="00AD3A54">
        <w:rPr>
          <w:rFonts w:ascii="Century Gothic" w:hAnsi="Century Gothic"/>
          <w:sz w:val="16"/>
          <w:szCs w:val="16"/>
        </w:rPr>
        <w:t>§ 15 odst. 1 zákona o místních poplatcích</w:t>
      </w:r>
    </w:p>
    <w:bookmarkStart w:id="13" w:name="sdfootnote3sym"/>
    <w:p w14:paraId="1F14EB24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"sdfootnote3anc"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3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3"/>
      <w:r w:rsidRPr="00AD3A54">
        <w:rPr>
          <w:rFonts w:ascii="Century Gothic" w:hAnsi="Century Gothic"/>
          <w:sz w:val="16"/>
          <w:szCs w:val="16"/>
        </w:rPr>
        <w:t>§ 10e zákona o místních poplatcích</w:t>
      </w:r>
    </w:p>
    <w:bookmarkStart w:id="14" w:name="sdfootnote4sym"/>
    <w:p w14:paraId="008D97ED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"sdfootnote4anc"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4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4"/>
      <w:r w:rsidRPr="00AD3A54">
        <w:rPr>
          <w:rFonts w:ascii="Century Gothic" w:hAnsi="Century Gothic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530A1C63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"sdfootnote5anc"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5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5"/>
      <w:r w:rsidRPr="00AD3A54">
        <w:rPr>
          <w:rFonts w:ascii="Century Gothic" w:hAnsi="Century Gothic"/>
          <w:sz w:val="16"/>
          <w:szCs w:val="16"/>
        </w:rPr>
        <w:t>§ 10p zákona o místních poplatcích</w:t>
      </w:r>
    </w:p>
    <w:bookmarkStart w:id="16" w:name="sdfootnote6sym"/>
    <w:p w14:paraId="45EFF222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"sdfootnote6anc"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6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6"/>
      <w:r w:rsidRPr="00AD3A54">
        <w:rPr>
          <w:rFonts w:ascii="Century Gothic" w:hAnsi="Century Gothic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2128E46F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"sdfootnote7anc"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7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7"/>
      <w:r w:rsidRPr="00AD3A54">
        <w:rPr>
          <w:rFonts w:ascii="Century Gothic" w:hAnsi="Century Gothic"/>
          <w:sz w:val="16"/>
          <w:szCs w:val="16"/>
        </w:rPr>
        <w:t>§ 14a odst. 4 zákona o místních poplatcích</w:t>
      </w:r>
    </w:p>
    <w:bookmarkStart w:id="18" w:name="sdfootnote8sym"/>
    <w:p w14:paraId="38D0473F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"sdfootnote8anc"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8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8"/>
      <w:r w:rsidRPr="00AD3A54">
        <w:rPr>
          <w:rFonts w:ascii="Century Gothic" w:hAnsi="Century Gothic"/>
          <w:sz w:val="16"/>
          <w:szCs w:val="16"/>
        </w:rPr>
        <w:t>§ 10h odst. 2 ve spojení s § 10o odst. 2 zákona o místních poplatcích</w:t>
      </w:r>
    </w:p>
    <w:bookmarkStart w:id="19" w:name="sdfootnote9sym"/>
    <w:p w14:paraId="294A1C52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"sdfootnote9anc"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9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19"/>
      <w:r w:rsidRPr="00AD3A54">
        <w:rPr>
          <w:rFonts w:ascii="Century Gothic" w:hAnsi="Century Gothic"/>
          <w:sz w:val="16"/>
          <w:szCs w:val="16"/>
        </w:rPr>
        <w:t>§ 10h odst. 3 ve spojení s § 10o odst. 2 zákona o místních poplatcích</w:t>
      </w:r>
    </w:p>
    <w:bookmarkStart w:id="20" w:name="sdfootnote10sym"/>
    <w:p w14:paraId="1B2D46DD" w14:textId="77777777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"sdfootnote10anc"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10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20"/>
      <w:r w:rsidRPr="00AD3A54">
        <w:rPr>
          <w:rFonts w:ascii="Century Gothic" w:hAnsi="Century Gothic"/>
          <w:sz w:val="16"/>
          <w:szCs w:val="16"/>
        </w:rPr>
        <w:t>§ 10g zákona o místních poplatcích</w:t>
      </w:r>
    </w:p>
    <w:bookmarkStart w:id="21" w:name="sdfootnote11sym"/>
    <w:p w14:paraId="3304544B" w14:textId="2D57797E" w:rsidR="00AD3A54" w:rsidRPr="00AD3A54" w:rsidRDefault="00AD3A54" w:rsidP="00AD3A54">
      <w:pPr>
        <w:pStyle w:val="UvodniVeta"/>
        <w:spacing w:before="0" w:after="0" w:line="240" w:lineRule="auto"/>
        <w:rPr>
          <w:rFonts w:ascii="Century Gothic" w:hAnsi="Century Gothic"/>
          <w:sz w:val="16"/>
          <w:szCs w:val="16"/>
        </w:rPr>
      </w:pPr>
      <w:r w:rsidRPr="00AD3A54">
        <w:rPr>
          <w:rFonts w:ascii="Century Gothic" w:hAnsi="Century Gothic"/>
          <w:sz w:val="16"/>
          <w:szCs w:val="16"/>
        </w:rPr>
        <w:fldChar w:fldCharType="begin"/>
      </w:r>
      <w:r w:rsidRPr="00AD3A54">
        <w:rPr>
          <w:rFonts w:ascii="Century Gothic" w:hAnsi="Century Gothic"/>
          <w:sz w:val="16"/>
          <w:szCs w:val="16"/>
        </w:rPr>
        <w:instrText>HYPERLINK "" \l "sdfootnote11anc"</w:instrText>
      </w:r>
      <w:r w:rsidRPr="00AD3A54">
        <w:rPr>
          <w:rFonts w:ascii="Century Gothic" w:hAnsi="Century Gothic"/>
          <w:sz w:val="16"/>
          <w:szCs w:val="16"/>
        </w:rPr>
      </w:r>
      <w:r w:rsidRPr="00AD3A54">
        <w:rPr>
          <w:rFonts w:ascii="Century Gothic" w:hAnsi="Century Gothic"/>
          <w:sz w:val="16"/>
          <w:szCs w:val="16"/>
        </w:rPr>
        <w:fldChar w:fldCharType="separate"/>
      </w:r>
      <w:r w:rsidRPr="00AD3A54">
        <w:rPr>
          <w:rStyle w:val="Hypertextovodkaz"/>
          <w:rFonts w:ascii="Century Gothic" w:hAnsi="Century Gothic"/>
          <w:sz w:val="16"/>
          <w:szCs w:val="16"/>
        </w:rPr>
        <w:t>11</w:t>
      </w:r>
      <w:r w:rsidRPr="00AD3A54">
        <w:rPr>
          <w:rFonts w:ascii="Century Gothic" w:hAnsi="Century Gothic"/>
          <w:sz w:val="16"/>
          <w:szCs w:val="16"/>
        </w:rPr>
        <w:fldChar w:fldCharType="end"/>
      </w:r>
      <w:bookmarkEnd w:id="21"/>
      <w:r w:rsidRPr="00AD3A54">
        <w:rPr>
          <w:rFonts w:ascii="Century Gothic" w:hAnsi="Century Gothic"/>
          <w:sz w:val="16"/>
          <w:szCs w:val="16"/>
        </w:rPr>
        <w:t>§ 14a odst. 6 zákona o místních poplatcíc</w:t>
      </w:r>
      <w:r>
        <w:rPr>
          <w:rFonts w:ascii="Century Gothic" w:hAnsi="Century Gothic"/>
          <w:sz w:val="16"/>
          <w:szCs w:val="16"/>
        </w:rPr>
        <w:t>h</w:t>
      </w:r>
    </w:p>
    <w:sectPr w:rsidR="00AD3A54" w:rsidRPr="00AD3A5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027C8" w14:textId="77777777" w:rsidR="008931A7" w:rsidRDefault="008931A7">
      <w:r>
        <w:separator/>
      </w:r>
    </w:p>
  </w:endnote>
  <w:endnote w:type="continuationSeparator" w:id="0">
    <w:p w14:paraId="1495C4E1" w14:textId="77777777" w:rsidR="008931A7" w:rsidRDefault="0089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215F4" w14:textId="77777777" w:rsidR="008931A7" w:rsidRDefault="008931A7">
      <w:pPr>
        <w:rPr>
          <w:sz w:val="12"/>
        </w:rPr>
      </w:pPr>
      <w:r>
        <w:separator/>
      </w:r>
    </w:p>
  </w:footnote>
  <w:footnote w:type="continuationSeparator" w:id="0">
    <w:p w14:paraId="7E507786" w14:textId="77777777" w:rsidR="008931A7" w:rsidRDefault="008931A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9F9"/>
    <w:multiLevelType w:val="multilevel"/>
    <w:tmpl w:val="C6E6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97F61"/>
    <w:multiLevelType w:val="multilevel"/>
    <w:tmpl w:val="07FC910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B904AC"/>
    <w:multiLevelType w:val="multilevel"/>
    <w:tmpl w:val="F6DE381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0F43BF"/>
    <w:multiLevelType w:val="multilevel"/>
    <w:tmpl w:val="920C6D4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355028"/>
    <w:multiLevelType w:val="multilevel"/>
    <w:tmpl w:val="AFDA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01030"/>
    <w:multiLevelType w:val="multilevel"/>
    <w:tmpl w:val="6E28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E77AC"/>
    <w:multiLevelType w:val="multilevel"/>
    <w:tmpl w:val="C72EE8A0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CE683F"/>
    <w:multiLevelType w:val="multilevel"/>
    <w:tmpl w:val="2E9C682A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1F154C3"/>
    <w:multiLevelType w:val="multilevel"/>
    <w:tmpl w:val="F4FA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5B36B6"/>
    <w:multiLevelType w:val="multilevel"/>
    <w:tmpl w:val="4B50C18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643A75"/>
    <w:multiLevelType w:val="multilevel"/>
    <w:tmpl w:val="C508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4695D"/>
    <w:multiLevelType w:val="multilevel"/>
    <w:tmpl w:val="B9BCD1CC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A9C3B6F"/>
    <w:multiLevelType w:val="multilevel"/>
    <w:tmpl w:val="9072DBA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DEF3ABD"/>
    <w:multiLevelType w:val="multilevel"/>
    <w:tmpl w:val="5382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D87D46"/>
    <w:multiLevelType w:val="multilevel"/>
    <w:tmpl w:val="77AA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996639">
    <w:abstractNumId w:val="3"/>
  </w:num>
  <w:num w:numId="2" w16cid:durableId="1685159202">
    <w:abstractNumId w:val="1"/>
  </w:num>
  <w:num w:numId="3" w16cid:durableId="661665709">
    <w:abstractNumId w:val="12"/>
  </w:num>
  <w:num w:numId="4" w16cid:durableId="2055693254">
    <w:abstractNumId w:val="12"/>
    <w:lvlOverride w:ilvl="0">
      <w:startOverride w:val="1"/>
    </w:lvlOverride>
  </w:num>
  <w:num w:numId="5" w16cid:durableId="1011687745">
    <w:abstractNumId w:val="7"/>
  </w:num>
  <w:num w:numId="6" w16cid:durableId="114374656">
    <w:abstractNumId w:val="7"/>
    <w:lvlOverride w:ilvl="0">
      <w:startOverride w:val="1"/>
    </w:lvlOverride>
  </w:num>
  <w:num w:numId="7" w16cid:durableId="1595363424">
    <w:abstractNumId w:val="6"/>
  </w:num>
  <w:num w:numId="8" w16cid:durableId="369034170">
    <w:abstractNumId w:val="6"/>
    <w:lvlOverride w:ilvl="0">
      <w:startOverride w:val="1"/>
    </w:lvlOverride>
  </w:num>
  <w:num w:numId="9" w16cid:durableId="9070550">
    <w:abstractNumId w:val="11"/>
  </w:num>
  <w:num w:numId="10" w16cid:durableId="1681620172">
    <w:abstractNumId w:val="11"/>
    <w:lvlOverride w:ilvl="0">
      <w:startOverride w:val="1"/>
    </w:lvlOverride>
  </w:num>
  <w:num w:numId="11" w16cid:durableId="2017145994">
    <w:abstractNumId w:val="2"/>
  </w:num>
  <w:num w:numId="12" w16cid:durableId="1245528620">
    <w:abstractNumId w:val="2"/>
    <w:lvlOverride w:ilvl="0">
      <w:startOverride w:val="1"/>
    </w:lvlOverride>
  </w:num>
  <w:num w:numId="13" w16cid:durableId="543173596">
    <w:abstractNumId w:val="9"/>
  </w:num>
  <w:num w:numId="14" w16cid:durableId="1389646937">
    <w:abstractNumId w:val="9"/>
    <w:lvlOverride w:ilvl="0">
      <w:startOverride w:val="1"/>
    </w:lvlOverride>
  </w:num>
  <w:num w:numId="15" w16cid:durableId="1648434380">
    <w:abstractNumId w:val="4"/>
  </w:num>
  <w:num w:numId="16" w16cid:durableId="58939453">
    <w:abstractNumId w:val="14"/>
  </w:num>
  <w:num w:numId="17" w16cid:durableId="23530496">
    <w:abstractNumId w:val="13"/>
  </w:num>
  <w:num w:numId="18" w16cid:durableId="948506950">
    <w:abstractNumId w:val="0"/>
  </w:num>
  <w:num w:numId="19" w16cid:durableId="1659309598">
    <w:abstractNumId w:val="10"/>
  </w:num>
  <w:num w:numId="20" w16cid:durableId="1600991400">
    <w:abstractNumId w:val="5"/>
  </w:num>
  <w:num w:numId="21" w16cid:durableId="1121654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978"/>
    <w:rsid w:val="000E68CD"/>
    <w:rsid w:val="002410B1"/>
    <w:rsid w:val="002A7978"/>
    <w:rsid w:val="004730F7"/>
    <w:rsid w:val="006409D2"/>
    <w:rsid w:val="007C163B"/>
    <w:rsid w:val="008102B4"/>
    <w:rsid w:val="008931A7"/>
    <w:rsid w:val="008F7A56"/>
    <w:rsid w:val="00AD3A54"/>
    <w:rsid w:val="00E03528"/>
    <w:rsid w:val="00E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B293"/>
  <w15:docId w15:val="{D5F53D7F-7350-44BB-8FF0-50869CD3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TextbublinyChar">
    <w:name w:val="Text bubliny Char"/>
    <w:basedOn w:val="Standardnpsmoodstavce"/>
    <w:qFormat/>
    <w:rPr>
      <w:rFonts w:ascii="Tahoma" w:hAnsi="Tahoma" w:cs="Mangal"/>
      <w:sz w:val="16"/>
      <w:szCs w:val="14"/>
    </w:rPr>
  </w:style>
  <w:style w:type="character" w:customStyle="1" w:styleId="Znakypropoznmkupodarou0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qFormat/>
    <w:rPr>
      <w:rFonts w:ascii="Tahoma" w:hAnsi="Tahoma" w:cs="Mangal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AD3A5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3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vdp.cuzk.cz/vdp/ruian/obce/574686/zn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1039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Pavel Šubíř</cp:lastModifiedBy>
  <cp:revision>5</cp:revision>
  <dcterms:created xsi:type="dcterms:W3CDTF">2023-11-27T13:58:00Z</dcterms:created>
  <dcterms:modified xsi:type="dcterms:W3CDTF">2024-12-12T06:32:00Z</dcterms:modified>
  <dc:language>cs-CZ</dc:language>
</cp:coreProperties>
</file>