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FA4DD" w14:textId="77777777" w:rsidR="007E1DB2" w:rsidRPr="000452AD" w:rsidRDefault="007E1DB2" w:rsidP="000D54C5">
      <w:pPr>
        <w:jc w:val="center"/>
        <w:rPr>
          <w:rFonts w:ascii="Arial" w:hAnsi="Arial" w:cs="Arial"/>
          <w:b/>
          <w:sz w:val="26"/>
          <w:szCs w:val="26"/>
        </w:rPr>
      </w:pPr>
    </w:p>
    <w:p w14:paraId="6940313E" w14:textId="6A99607C" w:rsidR="00E963F9" w:rsidRPr="00752FEE" w:rsidRDefault="00E963F9" w:rsidP="000D54C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033474">
        <w:rPr>
          <w:rFonts w:ascii="Arial" w:hAnsi="Arial" w:cs="Arial"/>
          <w:b/>
          <w:color w:val="000000"/>
          <w:sz w:val="28"/>
          <w:szCs w:val="28"/>
        </w:rPr>
        <w:t xml:space="preserve"> Daskabát</w:t>
      </w:r>
    </w:p>
    <w:p w14:paraId="5EAE0884" w14:textId="7BF9990A" w:rsidR="00E963F9" w:rsidRDefault="00E963F9" w:rsidP="000D54C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033474">
        <w:rPr>
          <w:rFonts w:ascii="Arial" w:hAnsi="Arial" w:cs="Arial"/>
          <w:b/>
          <w:color w:val="000000"/>
          <w:sz w:val="28"/>
          <w:szCs w:val="28"/>
        </w:rPr>
        <w:t xml:space="preserve"> Daskabát</w:t>
      </w:r>
    </w:p>
    <w:p w14:paraId="53F15028" w14:textId="77777777" w:rsidR="009B7B09" w:rsidRPr="00E7791D" w:rsidRDefault="009B7B09" w:rsidP="000D54C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89867F" w14:textId="6B9CEEE3" w:rsidR="00E963F9" w:rsidRDefault="00E963F9" w:rsidP="000D54C5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033474">
        <w:rPr>
          <w:rFonts w:ascii="Arial" w:hAnsi="Arial" w:cs="Arial"/>
          <w:b/>
        </w:rPr>
        <w:t xml:space="preserve"> Daskabát</w:t>
      </w:r>
      <w:r w:rsidR="009B7B09">
        <w:rPr>
          <w:rFonts w:ascii="Arial" w:hAnsi="Arial" w:cs="Arial"/>
          <w:b/>
        </w:rPr>
        <w:t>,</w:t>
      </w:r>
    </w:p>
    <w:p w14:paraId="17F9881C" w14:textId="77777777" w:rsidR="00774261" w:rsidRDefault="00774261" w:rsidP="000D54C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AE76912" w14:textId="77777777" w:rsidR="00F64363" w:rsidRDefault="00F64363" w:rsidP="000D54C5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0D76183" w14:textId="77777777" w:rsidR="004338D3" w:rsidRPr="00F64363" w:rsidRDefault="004338D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AB6BBA4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F497631" w14:textId="3BBABC20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D35536">
        <w:rPr>
          <w:rFonts w:ascii="Arial" w:hAnsi="Arial" w:cs="Arial"/>
          <w:sz w:val="22"/>
          <w:szCs w:val="22"/>
        </w:rPr>
        <w:t xml:space="preserve">Daskabát </w:t>
      </w:r>
      <w:r w:rsidRPr="00F64363">
        <w:rPr>
          <w:rFonts w:ascii="Arial" w:hAnsi="Arial" w:cs="Arial"/>
          <w:sz w:val="22"/>
          <w:szCs w:val="22"/>
        </w:rPr>
        <w:t xml:space="preserve">se na svém </w:t>
      </w:r>
      <w:r w:rsidR="001B6DEF">
        <w:rPr>
          <w:rFonts w:ascii="Arial" w:hAnsi="Arial" w:cs="Arial"/>
          <w:sz w:val="22"/>
          <w:szCs w:val="22"/>
        </w:rPr>
        <w:t xml:space="preserve">16. </w:t>
      </w:r>
      <w:r w:rsidRPr="00F64363">
        <w:rPr>
          <w:rFonts w:ascii="Arial" w:hAnsi="Arial" w:cs="Arial"/>
          <w:sz w:val="22"/>
          <w:szCs w:val="22"/>
        </w:rPr>
        <w:t>zasedání</w:t>
      </w:r>
      <w:r w:rsidR="002A20DD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konaném dne</w:t>
      </w:r>
      <w:r w:rsidR="001B6DEF">
        <w:rPr>
          <w:rFonts w:ascii="Arial" w:hAnsi="Arial" w:cs="Arial"/>
          <w:sz w:val="22"/>
          <w:szCs w:val="22"/>
        </w:rPr>
        <w:t xml:space="preserve"> 11. 12. </w:t>
      </w:r>
      <w:r w:rsidR="00312F77">
        <w:rPr>
          <w:rFonts w:ascii="Arial" w:hAnsi="Arial" w:cs="Arial"/>
          <w:sz w:val="22"/>
          <w:szCs w:val="22"/>
        </w:rPr>
        <w:t xml:space="preserve">2024, </w:t>
      </w:r>
      <w:r w:rsidR="00312F77" w:rsidRPr="00312F77">
        <w:rPr>
          <w:rFonts w:ascii="Arial" w:hAnsi="Arial" w:cs="Arial"/>
          <w:sz w:val="22"/>
          <w:szCs w:val="22"/>
        </w:rPr>
        <w:t>usnesením</w:t>
      </w:r>
      <w:r w:rsidR="00D35536" w:rsidRPr="001B6DEF">
        <w:rPr>
          <w:rFonts w:ascii="Arial" w:hAnsi="Arial" w:cs="Arial"/>
          <w:sz w:val="22"/>
          <w:szCs w:val="22"/>
        </w:rPr>
        <w:t xml:space="preserve"> č.</w:t>
      </w:r>
      <w:r w:rsidR="001B6DEF" w:rsidRPr="001B6DEF">
        <w:rPr>
          <w:rFonts w:ascii="Arial" w:hAnsi="Arial" w:cs="Arial"/>
          <w:sz w:val="22"/>
          <w:szCs w:val="22"/>
        </w:rPr>
        <w:t xml:space="preserve"> 9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0045DBF" w14:textId="77777777" w:rsidR="004338D3" w:rsidRPr="00F64363" w:rsidRDefault="004338D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0481A2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91F462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3FD2D15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B58645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FECB71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39E0A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26B352A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E35A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E0D531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383AAB" w14:textId="78DF08AC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9A4FE2">
        <w:rPr>
          <w:rFonts w:ascii="Arial" w:hAnsi="Arial" w:cs="Arial"/>
          <w:sz w:val="22"/>
          <w:szCs w:val="22"/>
        </w:rPr>
        <w:t>Daskabát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82F924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0AA32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722CDFD" w14:textId="6FBB1222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0D54C5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0D54C5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0D54C5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4D45382E" w14:textId="5A22FD04" w:rsidR="00F64363" w:rsidRPr="00F64363" w:rsidRDefault="000D54C5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3890B4F" w14:textId="77777777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2D6740E" w14:textId="77777777" w:rsidR="004338D3" w:rsidRPr="004338D3" w:rsidRDefault="004338D3" w:rsidP="004338D3"/>
    <w:p w14:paraId="2306979E" w14:textId="5A90B7CF" w:rsidR="00F64363" w:rsidRPr="004338D3" w:rsidRDefault="00F64363" w:rsidP="004338D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9F1E3D0" w14:textId="38E492C9" w:rsidR="004338D3" w:rsidRDefault="004338D3" w:rsidP="004338D3">
      <w:pPr>
        <w:pStyle w:val="Nadpis4"/>
        <w:rPr>
          <w:rFonts w:ascii="Arial" w:hAnsi="Arial" w:cs="Arial"/>
          <w:b w:val="0"/>
          <w:bCs w:val="0"/>
          <w:sz w:val="22"/>
          <w:szCs w:val="22"/>
        </w:rPr>
      </w:pPr>
      <w:r w:rsidRPr="004338D3">
        <w:rPr>
          <w:rFonts w:ascii="Arial" w:hAnsi="Arial" w:cs="Arial"/>
          <w:b w:val="0"/>
          <w:bCs w:val="0"/>
          <w:sz w:val="22"/>
          <w:szCs w:val="22"/>
        </w:rPr>
        <w:t>Obec nestanoví se zřetelem na místní situaci žádné činnosti ani objekty se zvýšeným nebezpečím vzniku požáru ani podmínky požární bezpečnosti vztahující se k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4338D3">
        <w:rPr>
          <w:rFonts w:ascii="Arial" w:hAnsi="Arial" w:cs="Arial"/>
          <w:b w:val="0"/>
          <w:bCs w:val="0"/>
          <w:sz w:val="22"/>
          <w:szCs w:val="22"/>
        </w:rPr>
        <w:t>takovým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338D3">
        <w:rPr>
          <w:rFonts w:ascii="Arial" w:hAnsi="Arial" w:cs="Arial"/>
          <w:b w:val="0"/>
          <w:bCs w:val="0"/>
          <w:sz w:val="22"/>
          <w:szCs w:val="22"/>
        </w:rPr>
        <w:t>činnostem či objektům.</w:t>
      </w:r>
    </w:p>
    <w:p w14:paraId="18B894F3" w14:textId="77777777" w:rsidR="004338D3" w:rsidRPr="004338D3" w:rsidRDefault="004338D3" w:rsidP="004338D3"/>
    <w:p w14:paraId="19549A6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DB3DF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8283B8" w14:textId="4A6854A1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</w:t>
      </w:r>
      <w:r w:rsidR="004338D3">
        <w:rPr>
          <w:rFonts w:ascii="Arial" w:hAnsi="Arial" w:cs="Arial"/>
          <w:sz w:val="22"/>
          <w:szCs w:val="22"/>
        </w:rPr>
        <w:t xml:space="preserve">zabezpečeno ohlašovnou požáru uvedenou </w:t>
      </w:r>
      <w:r w:rsidRPr="00F64363">
        <w:rPr>
          <w:rFonts w:ascii="Arial" w:hAnsi="Arial" w:cs="Arial"/>
          <w:sz w:val="22"/>
          <w:szCs w:val="22"/>
        </w:rPr>
        <w:t>v čl. 7.</w:t>
      </w:r>
    </w:p>
    <w:p w14:paraId="2204082E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FBA9A7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4C575B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41D2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2933B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5B190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FD9D9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79403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49995A" w14:textId="24AF4AEA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033474">
        <w:rPr>
          <w:rFonts w:ascii="Arial" w:hAnsi="Arial" w:cs="Arial"/>
          <w:sz w:val="22"/>
          <w:szCs w:val="22"/>
        </w:rPr>
        <w:t xml:space="preserve"> Daskabát 136, Daskabát 779 00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68CF5A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B8C6F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3B677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1D088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6DCB541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C223769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7B484D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7622FA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090E775" w14:textId="43B41723" w:rsidR="00F64363" w:rsidRPr="00033474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33474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033474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033474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033474">
        <w:rPr>
          <w:rFonts w:ascii="Arial" w:hAnsi="Arial" w:cs="Arial"/>
          <w:color w:val="auto"/>
          <w:sz w:val="22"/>
          <w:szCs w:val="22"/>
        </w:rPr>
        <w:t> </w:t>
      </w:r>
      <w:r w:rsidRPr="00033474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033474" w:rsidRPr="00033474">
        <w:rPr>
          <w:rFonts w:ascii="Arial" w:hAnsi="Arial" w:cs="Arial"/>
          <w:color w:val="auto"/>
          <w:sz w:val="22"/>
          <w:szCs w:val="22"/>
        </w:rPr>
        <w:t>Olomouckého</w:t>
      </w:r>
      <w:r w:rsidRPr="00033474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120C57D6" w14:textId="77777777" w:rsidR="00F64363" w:rsidRPr="00D30E8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B8F3045" w14:textId="2BC7A5C1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4338D3">
        <w:rPr>
          <w:rFonts w:ascii="Arial" w:hAnsi="Arial" w:cs="Arial"/>
          <w:b w:val="0"/>
          <w:bCs w:val="0"/>
          <w:i/>
          <w:iCs/>
          <w:sz w:val="22"/>
          <w:szCs w:val="22"/>
        </w:rPr>
        <w:t>Ohlašovna požárů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, odkud lze hlásit požár, a způsob </w:t>
      </w:r>
      <w:r w:rsidR="004338D3">
        <w:rPr>
          <w:rFonts w:ascii="Arial" w:hAnsi="Arial" w:cs="Arial"/>
          <w:b w:val="0"/>
          <w:bCs w:val="0"/>
          <w:i/>
          <w:iCs/>
          <w:sz w:val="22"/>
          <w:szCs w:val="22"/>
        </w:rPr>
        <w:t>jejího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označení</w:t>
      </w:r>
    </w:p>
    <w:p w14:paraId="0F3B7B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CCF52A" w14:textId="0248BDA1" w:rsidR="00B940A8" w:rsidRPr="004338D3" w:rsidRDefault="00F64363" w:rsidP="003A03D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</w:t>
      </w:r>
      <w:r w:rsidRPr="00033474">
        <w:rPr>
          <w:rFonts w:ascii="Arial" w:hAnsi="Arial" w:cs="Arial"/>
          <w:color w:val="auto"/>
          <w:sz w:val="22"/>
          <w:szCs w:val="22"/>
        </w:rPr>
        <w:t>”:</w:t>
      </w:r>
      <w:r w:rsidR="00033474" w:rsidRPr="00033474">
        <w:rPr>
          <w:rFonts w:ascii="Arial" w:hAnsi="Arial" w:cs="Arial"/>
          <w:color w:val="auto"/>
          <w:sz w:val="22"/>
          <w:szCs w:val="22"/>
        </w:rPr>
        <w:t xml:space="preserve"> </w:t>
      </w:r>
      <w:r w:rsidRPr="00033474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033474">
        <w:rPr>
          <w:rFonts w:ascii="Arial" w:hAnsi="Arial" w:cs="Arial"/>
          <w:color w:val="auto"/>
          <w:sz w:val="22"/>
          <w:szCs w:val="22"/>
        </w:rPr>
        <w:t xml:space="preserve"> </w:t>
      </w:r>
      <w:r w:rsidR="00033474" w:rsidRPr="00033474">
        <w:rPr>
          <w:rFonts w:ascii="Arial" w:hAnsi="Arial" w:cs="Arial"/>
          <w:color w:val="auto"/>
          <w:sz w:val="22"/>
          <w:szCs w:val="22"/>
        </w:rPr>
        <w:t>Daskabát 35, Daskabát 779 00</w:t>
      </w:r>
      <w:r w:rsidR="00B940A8" w:rsidRPr="00033474">
        <w:rPr>
          <w:rFonts w:ascii="Arial" w:hAnsi="Arial" w:cs="Arial"/>
          <w:color w:val="auto"/>
          <w:sz w:val="22"/>
          <w:szCs w:val="22"/>
        </w:rPr>
        <w:t>.</w:t>
      </w:r>
      <w:r w:rsidRPr="00033474">
        <w:rPr>
          <w:rFonts w:ascii="Arial" w:hAnsi="Arial" w:cs="Arial"/>
          <w:color w:val="FF0000"/>
          <w:sz w:val="22"/>
          <w:szCs w:val="22"/>
        </w:rPr>
        <w:tab/>
      </w:r>
      <w:r w:rsidRPr="00033474">
        <w:rPr>
          <w:rFonts w:ascii="Arial" w:hAnsi="Arial" w:cs="Arial"/>
          <w:color w:val="auto"/>
          <w:sz w:val="22"/>
          <w:szCs w:val="22"/>
        </w:rPr>
        <w:tab/>
      </w:r>
      <w:r w:rsidRPr="00033474">
        <w:rPr>
          <w:rFonts w:ascii="Arial" w:hAnsi="Arial" w:cs="Arial"/>
          <w:color w:val="auto"/>
          <w:sz w:val="22"/>
          <w:szCs w:val="22"/>
        </w:rPr>
        <w:tab/>
      </w:r>
    </w:p>
    <w:p w14:paraId="69E63D2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0C5B6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0A31B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E216A6F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2FCE609" w14:textId="0505D336"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2A51DF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  <w:r w:rsidR="001C7F04">
        <w:rPr>
          <w:rFonts w:ascii="Arial" w:hAnsi="Arial" w:cs="Arial"/>
          <w:sz w:val="22"/>
          <w:szCs w:val="22"/>
        </w:rPr>
        <w:t>,</w:t>
      </w:r>
    </w:p>
    <w:p w14:paraId="4B11CC92" w14:textId="3EE74A43" w:rsidR="00F64363" w:rsidRPr="002A51DF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2A51DF">
        <w:rPr>
          <w:rFonts w:ascii="Arial" w:hAnsi="Arial" w:cs="Arial"/>
          <w:sz w:val="22"/>
          <w:szCs w:val="22"/>
        </w:rPr>
        <w:t xml:space="preserve"> </w:t>
      </w:r>
      <w:r w:rsidRPr="002A51DF">
        <w:rPr>
          <w:rFonts w:ascii="Arial" w:hAnsi="Arial" w:cs="Arial"/>
          <w:color w:val="auto"/>
          <w:sz w:val="22"/>
          <w:szCs w:val="22"/>
        </w:rPr>
        <w:t>obecním rozhlasem, dopravním prostředkem vybaveným audiotechnikou apod.</w:t>
      </w:r>
    </w:p>
    <w:p w14:paraId="04E1ED10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50212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F13D02C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625F2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C2489E" w14:textId="7DDD784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2A51DF">
        <w:rPr>
          <w:rFonts w:ascii="Arial" w:hAnsi="Arial" w:cs="Arial"/>
          <w:sz w:val="22"/>
          <w:szCs w:val="22"/>
        </w:rPr>
        <w:t xml:space="preserve"> Olomouckého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0687B9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5B01F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5662E1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C03741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B894543" w14:textId="250169EF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A51DF">
        <w:rPr>
          <w:rFonts w:ascii="Arial" w:hAnsi="Arial" w:cs="Arial"/>
          <w:sz w:val="22"/>
          <w:szCs w:val="22"/>
        </w:rPr>
        <w:t>2/2015</w:t>
      </w:r>
      <w:r w:rsidR="000D54C5">
        <w:rPr>
          <w:rFonts w:ascii="Arial" w:hAnsi="Arial" w:cs="Arial"/>
          <w:sz w:val="22"/>
          <w:szCs w:val="22"/>
        </w:rPr>
        <w:t xml:space="preserve">, kterou se vydává požární řád obce, ze dne 14. 09. 2015. </w:t>
      </w:r>
    </w:p>
    <w:p w14:paraId="7C32E9F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8458AC8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EE9F86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0EAF71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15C9E8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35E6E50" w14:textId="77777777" w:rsidR="004338D3" w:rsidRDefault="004338D3" w:rsidP="00774261">
      <w:pPr>
        <w:jc w:val="both"/>
        <w:rPr>
          <w:rFonts w:ascii="Arial" w:hAnsi="Arial" w:cs="Arial"/>
          <w:sz w:val="22"/>
          <w:szCs w:val="22"/>
        </w:rPr>
      </w:pPr>
    </w:p>
    <w:p w14:paraId="4FBB5DF4" w14:textId="77777777" w:rsidR="004338D3" w:rsidRDefault="004338D3" w:rsidP="00774261">
      <w:pPr>
        <w:jc w:val="both"/>
        <w:rPr>
          <w:rFonts w:ascii="Arial" w:hAnsi="Arial" w:cs="Arial"/>
          <w:sz w:val="22"/>
          <w:szCs w:val="22"/>
        </w:rPr>
      </w:pPr>
    </w:p>
    <w:p w14:paraId="23F83752" w14:textId="77777777" w:rsidR="004338D3" w:rsidRPr="00E836B1" w:rsidRDefault="004338D3" w:rsidP="00774261">
      <w:pPr>
        <w:jc w:val="both"/>
        <w:rPr>
          <w:rFonts w:ascii="Arial" w:hAnsi="Arial" w:cs="Arial"/>
          <w:sz w:val="22"/>
          <w:szCs w:val="22"/>
        </w:rPr>
      </w:pPr>
    </w:p>
    <w:p w14:paraId="2BEF84A0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BFC292" w14:textId="2B671956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D9829B7" w14:textId="4FE97033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</w:t>
      </w:r>
      <w:r w:rsidR="00B115AE">
        <w:rPr>
          <w:rFonts w:ascii="Arial" w:hAnsi="Arial" w:cs="Arial"/>
          <w:sz w:val="22"/>
          <w:szCs w:val="22"/>
        </w:rPr>
        <w:t>.............</w:t>
      </w:r>
      <w:r w:rsidRPr="00F64363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B115AE">
        <w:rPr>
          <w:rFonts w:ascii="Arial" w:hAnsi="Arial" w:cs="Arial"/>
          <w:sz w:val="22"/>
          <w:szCs w:val="22"/>
        </w:rPr>
        <w:t>………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118520AF" w14:textId="10F87AA6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9261D">
        <w:rPr>
          <w:rFonts w:ascii="Arial" w:hAnsi="Arial" w:cs="Arial"/>
          <w:sz w:val="22"/>
          <w:szCs w:val="22"/>
        </w:rPr>
        <w:t>Ing. Gabriela Kubešová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B115AE">
        <w:rPr>
          <w:rFonts w:ascii="Arial" w:hAnsi="Arial" w:cs="Arial"/>
          <w:sz w:val="22"/>
          <w:szCs w:val="22"/>
        </w:rPr>
        <w:t xml:space="preserve">          </w:t>
      </w:r>
      <w:r w:rsidR="0079261D">
        <w:rPr>
          <w:rFonts w:ascii="Arial" w:hAnsi="Arial" w:cs="Arial"/>
          <w:sz w:val="22"/>
          <w:szCs w:val="22"/>
        </w:rPr>
        <w:t xml:space="preserve">Luděk </w:t>
      </w:r>
      <w:proofErr w:type="spellStart"/>
      <w:r w:rsidR="0079261D">
        <w:rPr>
          <w:rFonts w:ascii="Arial" w:hAnsi="Arial" w:cs="Arial"/>
          <w:sz w:val="22"/>
          <w:szCs w:val="22"/>
        </w:rPr>
        <w:t>Melničuk</w:t>
      </w:r>
      <w:proofErr w:type="spellEnd"/>
    </w:p>
    <w:p w14:paraId="3B438CD3" w14:textId="5826E40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B115AE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B115AE">
        <w:rPr>
          <w:rFonts w:ascii="Arial" w:hAnsi="Arial" w:cs="Arial"/>
          <w:sz w:val="22"/>
          <w:szCs w:val="22"/>
        </w:rPr>
        <w:t xml:space="preserve">        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29212D31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57211C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C2263DE" w14:textId="1D97A777" w:rsidR="00264860" w:rsidRDefault="00264860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29A2BCC7" w14:textId="77777777" w:rsidR="00217267" w:rsidRPr="00217267" w:rsidRDefault="00217267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E5E318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E9E3DC9" w14:textId="1F68B39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2A51DF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7B5481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9AC4B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C7962B7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7CCF634" w14:textId="77777777"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A6725BA" w14:textId="77777777" w:rsidR="00217267" w:rsidRDefault="00217267" w:rsidP="00CA242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14BC893" w14:textId="77777777" w:rsidR="00217267" w:rsidRPr="00D0105C" w:rsidRDefault="00217267" w:rsidP="0021726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D0DD5C5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955924C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DF3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377C79C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A67AA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7E0E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C4A0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099E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DF97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E7D3F9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177C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DBBEF" w14:textId="544E6931" w:rsidR="00264860" w:rsidRPr="00D30E83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D30E83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2A51DF" w:rsidRPr="00D30E83">
              <w:rPr>
                <w:rFonts w:ascii="Arial" w:hAnsi="Arial" w:cs="Arial"/>
                <w:sz w:val="22"/>
                <w:szCs w:val="22"/>
              </w:rPr>
              <w:t>Olomouckého</w:t>
            </w:r>
            <w:r w:rsidR="009D1880" w:rsidRPr="00D30E83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2A51DF" w:rsidRPr="00D30E83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F65D0" w14:textId="12874707" w:rsidR="00264860" w:rsidRPr="00D30E83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30141" w14:textId="77777777" w:rsidR="002A51DF" w:rsidRPr="00D30E83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D30E83">
              <w:rPr>
                <w:rFonts w:ascii="Arial" w:hAnsi="Arial" w:cs="Arial"/>
                <w:sz w:val="22"/>
                <w:szCs w:val="22"/>
              </w:rPr>
              <w:t xml:space="preserve">SDH </w:t>
            </w:r>
          </w:p>
          <w:p w14:paraId="5D33FBBD" w14:textId="77777777" w:rsidR="00264860" w:rsidRDefault="002A51DF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Velký Újezd</w:t>
            </w:r>
          </w:p>
          <w:p w14:paraId="3041635B" w14:textId="77777777" w:rsidR="00654B87" w:rsidRDefault="00654B87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E1B9ED" w14:textId="5F70312D" w:rsidR="00654B87" w:rsidRPr="00D30E83" w:rsidRDefault="00654B87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Doloplazy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67903" w14:textId="70646E27" w:rsidR="00264860" w:rsidRPr="00D30E83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D30E8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2A51DF" w:rsidRPr="00D30E83">
              <w:rPr>
                <w:rFonts w:ascii="Arial" w:hAnsi="Arial" w:cs="Arial"/>
                <w:sz w:val="22"/>
                <w:szCs w:val="22"/>
              </w:rPr>
              <w:t>Daskabát</w:t>
            </w:r>
          </w:p>
        </w:tc>
      </w:tr>
      <w:tr w:rsidR="0062451D" w:rsidRPr="0062451D" w14:paraId="53636B1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DFD2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53435" w14:textId="77777777" w:rsidR="00264860" w:rsidRPr="00D30E83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09ED5" w14:textId="77777777" w:rsidR="00264860" w:rsidRPr="00D30E83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A3974" w14:textId="77777777" w:rsidR="00264860" w:rsidRPr="00D30E83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AFC71" w14:textId="77777777" w:rsidR="00264860" w:rsidRPr="00D30E83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280F5A4C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007D765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7DF29F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759AE57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6820FB4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6A14CE6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50FEB99" w14:textId="5A0E6B83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</w:t>
      </w:r>
      <w:r w:rsidR="002A20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ECE1077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5A94C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0B41B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E4904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80A1D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062CA3" w14:textId="77777777" w:rsidR="00217267" w:rsidRDefault="0021726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AED32B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85CEC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FDFE13F" w14:textId="77777777" w:rsidR="00CA2425" w:rsidRDefault="00CA2425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5EC50A" w14:textId="77777777" w:rsidR="00CA2425" w:rsidRDefault="00CA2425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546472" w14:textId="77777777" w:rsidR="00CA2425" w:rsidRDefault="00CA2425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CEEE90" w14:textId="77777777" w:rsidR="00CA2425" w:rsidRDefault="00CA2425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891B05" w14:textId="609E3E75" w:rsidR="00264860" w:rsidRDefault="00264860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D74901" w14:textId="77777777" w:rsidR="00217267" w:rsidRDefault="00217267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00EF85" w14:textId="77777777" w:rsidR="00217267" w:rsidRPr="00217267" w:rsidRDefault="00217267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1DE7279" w14:textId="43E94E3E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D30E83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D30E83">
        <w:rPr>
          <w:rFonts w:ascii="Arial" w:hAnsi="Arial" w:cs="Arial"/>
          <w:b/>
          <w:bCs/>
          <w:sz w:val="22"/>
          <w:szCs w:val="22"/>
          <w:u w:val="single"/>
        </w:rPr>
        <w:t>Daskabát</w:t>
      </w:r>
    </w:p>
    <w:p w14:paraId="3C09FBE4" w14:textId="77777777" w:rsidR="00217267" w:rsidRPr="00D0105C" w:rsidRDefault="0021726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DA55C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8C07EC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F0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D917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18D4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5552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3615F0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C6850" w14:textId="781CCC5A" w:rsidR="00C904D8" w:rsidRPr="00D30E83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D30E83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D30E83" w:rsidRPr="00D30E83">
              <w:rPr>
                <w:rFonts w:ascii="Arial" w:hAnsi="Arial" w:cs="Arial"/>
                <w:sz w:val="22"/>
                <w:szCs w:val="22"/>
              </w:rPr>
              <w:t>Daskabát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AC4F8" w14:textId="0EBB1376" w:rsidR="00264860" w:rsidRPr="00D30E83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30E83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313F7" w14:textId="4708A4CE" w:rsidR="00264860" w:rsidRPr="00D30E83" w:rsidRDefault="00D30E8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DA VW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Crafter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 pro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8+1 osob)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1DB93" w14:textId="41312DD4" w:rsidR="00264860" w:rsidRPr="00D30E83" w:rsidRDefault="00E31DF3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44EFAB5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CFF8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8478D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BFDC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2E3C7" w14:textId="34A37F4E" w:rsidR="00264860" w:rsidRPr="00D0105C" w:rsidRDefault="00D30E83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motorová přenosná stříkačka PS12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1D2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57D38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D5B002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72148F4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B92DFBC" w14:textId="763F557B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</w:t>
      </w:r>
    </w:p>
    <w:p w14:paraId="3C9E09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D9F50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98CE0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24B1E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E88CD9" w14:textId="2AEF6C69" w:rsidR="00264860" w:rsidRDefault="00627E5C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264860" w:rsidRPr="00D0105C">
        <w:rPr>
          <w:rFonts w:ascii="Arial" w:hAnsi="Arial" w:cs="Arial"/>
          <w:b/>
          <w:bCs/>
          <w:sz w:val="22"/>
          <w:szCs w:val="22"/>
        </w:rPr>
        <w:t xml:space="preserve">říloha č. 3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E6AADBB" w14:textId="77777777" w:rsidR="00217267" w:rsidRPr="00D0105C" w:rsidRDefault="00217267" w:rsidP="0021726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470202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C8E17F0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2392CA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671D9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1834715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5987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8115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ECC5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2F2B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7062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612FB41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E0382" w14:textId="2689DD21" w:rsidR="00264860" w:rsidRPr="00D30E83" w:rsidRDefault="00D30E8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95C54" w14:textId="64E78B58" w:rsidR="00264860" w:rsidRPr="00D30E83" w:rsidRDefault="00D30E8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Hydrantová síť obce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7F502" w14:textId="21D98A9C" w:rsidR="00264860" w:rsidRPr="00D30E8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F162F" w14:textId="5A2822A7" w:rsidR="00264860" w:rsidRPr="00D30E83" w:rsidRDefault="00D30E8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Dle umístění jednotlivých hydrantů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2D55A" w14:textId="77777777" w:rsidR="00264860" w:rsidRPr="00D30E8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6F52E90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384B0" w14:textId="77777777" w:rsidR="00264860" w:rsidRPr="00D30E8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6454E" w14:textId="62A848AA" w:rsidR="00264860" w:rsidRPr="00D30E8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D30E83" w:rsidRPr="00D30E83">
              <w:rPr>
                <w:rFonts w:ascii="Arial" w:hAnsi="Arial" w:cs="Arial"/>
                <w:sz w:val="22"/>
                <w:szCs w:val="22"/>
              </w:rPr>
              <w:t>na Dolním konci obce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D945B" w14:textId="6CF87BF8" w:rsidR="00264860" w:rsidRPr="00D30E8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2</w:t>
            </w:r>
            <w:r w:rsidR="00D30E83" w:rsidRPr="00D30E83">
              <w:rPr>
                <w:rFonts w:ascii="Arial" w:hAnsi="Arial" w:cs="Arial"/>
                <w:sz w:val="22"/>
                <w:szCs w:val="22"/>
              </w:rPr>
              <w:t>0</w:t>
            </w:r>
            <w:r w:rsidRPr="00D30E83">
              <w:rPr>
                <w:rFonts w:ascii="Arial" w:hAnsi="Arial" w:cs="Arial"/>
                <w:sz w:val="22"/>
                <w:szCs w:val="22"/>
              </w:rPr>
              <w:t>00 m</w:t>
            </w:r>
            <w:r w:rsidRPr="00D30E8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30E83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Pr="00D30E8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14ACA" w14:textId="48045DC0" w:rsidR="00264860" w:rsidRPr="00D30E83" w:rsidRDefault="00D30E83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Vstupní prostor do nádrže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EF829" w14:textId="77777777" w:rsidR="00264860" w:rsidRPr="00D30E83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30E83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569B960A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9D7DE4B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DAFB3ED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930C885" w14:textId="6FC2409E" w:rsidR="00264860" w:rsidRPr="00D0105C" w:rsidRDefault="000D54C5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Situace zdrojů požární vody v obci Daskabát</w:t>
      </w:r>
    </w:p>
    <w:p w14:paraId="6F89788B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E271B9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317830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DC82D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94047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63126EF" w14:textId="69545D22" w:rsidR="00890032" w:rsidRDefault="00890032" w:rsidP="00890032">
      <w:pPr>
        <w:pStyle w:val="Normlnweb"/>
        <w:jc w:val="center"/>
        <w:rPr>
          <w:rFonts w:ascii="Arial" w:hAnsi="Arial" w:cs="Arial"/>
          <w:noProof/>
          <w:color w:val="FF0000"/>
          <w:sz w:val="22"/>
          <w:szCs w:val="22"/>
        </w:rPr>
      </w:pPr>
    </w:p>
    <w:p w14:paraId="79EC72A6" w14:textId="77777777" w:rsidR="001B6DEF" w:rsidRDefault="001B6DEF" w:rsidP="00890032">
      <w:pPr>
        <w:pStyle w:val="Normlnweb"/>
        <w:jc w:val="center"/>
        <w:rPr>
          <w:rFonts w:ascii="Arial" w:hAnsi="Arial" w:cs="Arial"/>
          <w:noProof/>
          <w:color w:val="FF0000"/>
          <w:sz w:val="22"/>
          <w:szCs w:val="22"/>
        </w:rPr>
      </w:pPr>
    </w:p>
    <w:p w14:paraId="08F6D127" w14:textId="4146E211" w:rsidR="001B6DEF" w:rsidRPr="00890032" w:rsidRDefault="003C468E" w:rsidP="00890032">
      <w:pPr>
        <w:pStyle w:val="Normlnweb"/>
        <w:jc w:val="center"/>
        <w:rPr>
          <w:rFonts w:ascii="Arial" w:hAnsi="Arial" w:cs="Arial"/>
          <w:color w:val="FF0000"/>
          <w:sz w:val="22"/>
          <w:szCs w:val="22"/>
        </w:rPr>
      </w:pPr>
      <w:r w:rsidRPr="003C468E"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inline distT="0" distB="0" distL="0" distR="0" wp14:anchorId="575B70F4" wp14:editId="61210E6A">
            <wp:extent cx="4681911" cy="9717724"/>
            <wp:effectExtent l="0" t="0" r="4445" b="0"/>
            <wp:docPr id="6823229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229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5554" cy="972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DEF" w:rsidRPr="0089003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055F7" w14:textId="77777777" w:rsidR="001E3D4B" w:rsidRDefault="001E3D4B">
      <w:r>
        <w:separator/>
      </w:r>
    </w:p>
  </w:endnote>
  <w:endnote w:type="continuationSeparator" w:id="0">
    <w:p w14:paraId="3E603305" w14:textId="77777777" w:rsidR="001E3D4B" w:rsidRDefault="001E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9E3D4" w14:textId="77777777" w:rsidR="001E3D4B" w:rsidRDefault="001E3D4B">
      <w:r>
        <w:separator/>
      </w:r>
    </w:p>
  </w:footnote>
  <w:footnote w:type="continuationSeparator" w:id="0">
    <w:p w14:paraId="369C36C8" w14:textId="77777777" w:rsidR="001E3D4B" w:rsidRDefault="001E3D4B">
      <w:r>
        <w:continuationSeparator/>
      </w:r>
    </w:p>
  </w:footnote>
  <w:footnote w:id="1">
    <w:p w14:paraId="799B9F8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4338D3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62442E33" w14:textId="0A2021D0" w:rsidR="00F64363" w:rsidRPr="002E56B5" w:rsidRDefault="00F64363" w:rsidP="00F64363">
      <w:pPr>
        <w:pStyle w:val="Textpoznpodarou"/>
        <w:rPr>
          <w:rFonts w:ascii="Arial" w:hAnsi="Arial"/>
        </w:rPr>
      </w:pPr>
      <w:r w:rsidRPr="004338D3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4338D3">
        <w:rPr>
          <w:rFonts w:ascii="Arial" w:hAnsi="Arial"/>
        </w:rPr>
        <w:t xml:space="preserve">Olomouckého </w:t>
      </w:r>
      <w:r w:rsidRPr="002E56B5">
        <w:rPr>
          <w:rFonts w:ascii="Arial" w:hAnsi="Arial"/>
        </w:rPr>
        <w:t>kraje č</w:t>
      </w:r>
      <w:r w:rsidR="004338D3">
        <w:rPr>
          <w:rFonts w:ascii="Arial" w:hAnsi="Arial"/>
        </w:rPr>
        <w:t>. 3/2005</w:t>
      </w:r>
      <w:r w:rsidRPr="002E56B5">
        <w:rPr>
          <w:rFonts w:ascii="Arial" w:hAnsi="Arial"/>
        </w:rPr>
        <w:t xml:space="preserve"> ze dne</w:t>
      </w:r>
      <w:r w:rsidR="004338D3">
        <w:rPr>
          <w:rFonts w:ascii="Arial" w:hAnsi="Arial"/>
        </w:rPr>
        <w:t xml:space="preserve"> 19. 5. 2005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76225">
    <w:abstractNumId w:val="15"/>
  </w:num>
  <w:num w:numId="2" w16cid:durableId="966159036">
    <w:abstractNumId w:val="43"/>
  </w:num>
  <w:num w:numId="3" w16cid:durableId="1172064547">
    <w:abstractNumId w:val="7"/>
  </w:num>
  <w:num w:numId="4" w16cid:durableId="1852184966">
    <w:abstractNumId w:val="31"/>
  </w:num>
  <w:num w:numId="5" w16cid:durableId="2039309699">
    <w:abstractNumId w:val="30"/>
  </w:num>
  <w:num w:numId="6" w16cid:durableId="1621760724">
    <w:abstractNumId w:val="34"/>
  </w:num>
  <w:num w:numId="7" w16cid:durableId="659699780">
    <w:abstractNumId w:val="18"/>
  </w:num>
  <w:num w:numId="8" w16cid:durableId="2038040100">
    <w:abstractNumId w:val="2"/>
  </w:num>
  <w:num w:numId="9" w16cid:durableId="907887668">
    <w:abstractNumId w:val="33"/>
  </w:num>
  <w:num w:numId="10" w16cid:durableId="1831367407">
    <w:abstractNumId w:val="3"/>
  </w:num>
  <w:num w:numId="11" w16cid:durableId="224218882">
    <w:abstractNumId w:val="20"/>
  </w:num>
  <w:num w:numId="12" w16cid:durableId="1773428351">
    <w:abstractNumId w:val="9"/>
  </w:num>
  <w:num w:numId="13" w16cid:durableId="2008050357">
    <w:abstractNumId w:val="13"/>
  </w:num>
  <w:num w:numId="14" w16cid:durableId="1229152687">
    <w:abstractNumId w:val="17"/>
  </w:num>
  <w:num w:numId="15" w16cid:durableId="802769898">
    <w:abstractNumId w:val="37"/>
  </w:num>
  <w:num w:numId="16" w16cid:durableId="1131283278">
    <w:abstractNumId w:val="42"/>
  </w:num>
  <w:num w:numId="17" w16cid:durableId="489446912">
    <w:abstractNumId w:val="22"/>
  </w:num>
  <w:num w:numId="18" w16cid:durableId="1382482467">
    <w:abstractNumId w:val="29"/>
  </w:num>
  <w:num w:numId="19" w16cid:durableId="662513559">
    <w:abstractNumId w:val="44"/>
  </w:num>
  <w:num w:numId="20" w16cid:durableId="501776172">
    <w:abstractNumId w:val="27"/>
  </w:num>
  <w:num w:numId="21" w16cid:durableId="1673147339">
    <w:abstractNumId w:val="32"/>
  </w:num>
  <w:num w:numId="22" w16cid:durableId="367722764">
    <w:abstractNumId w:val="36"/>
  </w:num>
  <w:num w:numId="23" w16cid:durableId="1377051323">
    <w:abstractNumId w:val="28"/>
  </w:num>
  <w:num w:numId="24" w16cid:durableId="1838497377">
    <w:abstractNumId w:val="1"/>
  </w:num>
  <w:num w:numId="25" w16cid:durableId="631598601">
    <w:abstractNumId w:val="38"/>
  </w:num>
  <w:num w:numId="26" w16cid:durableId="1912038882">
    <w:abstractNumId w:val="41"/>
  </w:num>
  <w:num w:numId="27" w16cid:durableId="302319244">
    <w:abstractNumId w:val="10"/>
  </w:num>
  <w:num w:numId="28" w16cid:durableId="1406953953">
    <w:abstractNumId w:val="14"/>
  </w:num>
  <w:num w:numId="29" w16cid:durableId="1888103150">
    <w:abstractNumId w:val="35"/>
  </w:num>
  <w:num w:numId="30" w16cid:durableId="1660695927">
    <w:abstractNumId w:val="24"/>
  </w:num>
  <w:num w:numId="31" w16cid:durableId="1381632403">
    <w:abstractNumId w:val="23"/>
  </w:num>
  <w:num w:numId="32" w16cid:durableId="404648416">
    <w:abstractNumId w:val="12"/>
  </w:num>
  <w:num w:numId="33" w16cid:durableId="2109814526">
    <w:abstractNumId w:val="16"/>
  </w:num>
  <w:num w:numId="34" w16cid:durableId="1596202999">
    <w:abstractNumId w:val="4"/>
  </w:num>
  <w:num w:numId="35" w16cid:durableId="1354189421">
    <w:abstractNumId w:val="6"/>
  </w:num>
  <w:num w:numId="36" w16cid:durableId="1380981601">
    <w:abstractNumId w:val="39"/>
  </w:num>
  <w:num w:numId="37" w16cid:durableId="1931887630">
    <w:abstractNumId w:val="19"/>
  </w:num>
  <w:num w:numId="38" w16cid:durableId="1802074946">
    <w:abstractNumId w:val="5"/>
  </w:num>
  <w:num w:numId="39" w16cid:durableId="620839608">
    <w:abstractNumId w:val="11"/>
  </w:num>
  <w:num w:numId="40" w16cid:durableId="2112162359">
    <w:abstractNumId w:val="21"/>
  </w:num>
  <w:num w:numId="41" w16cid:durableId="1286618232">
    <w:abstractNumId w:val="25"/>
  </w:num>
  <w:num w:numId="42" w16cid:durableId="503513993">
    <w:abstractNumId w:val="0"/>
  </w:num>
  <w:num w:numId="43" w16cid:durableId="1688361538">
    <w:abstractNumId w:val="40"/>
  </w:num>
  <w:num w:numId="44" w16cid:durableId="357658250">
    <w:abstractNumId w:val="26"/>
  </w:num>
  <w:num w:numId="45" w16cid:durableId="1528105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C8D"/>
    <w:rsid w:val="00015BC7"/>
    <w:rsid w:val="0002050F"/>
    <w:rsid w:val="000249FB"/>
    <w:rsid w:val="00032EB6"/>
    <w:rsid w:val="00033474"/>
    <w:rsid w:val="00061B31"/>
    <w:rsid w:val="000A192D"/>
    <w:rsid w:val="000C01AD"/>
    <w:rsid w:val="000C2EE1"/>
    <w:rsid w:val="000D54C5"/>
    <w:rsid w:val="000E3719"/>
    <w:rsid w:val="00167FA5"/>
    <w:rsid w:val="00176F5A"/>
    <w:rsid w:val="001908F6"/>
    <w:rsid w:val="001B6DEF"/>
    <w:rsid w:val="001C443C"/>
    <w:rsid w:val="001C7F04"/>
    <w:rsid w:val="001D0B27"/>
    <w:rsid w:val="001E2224"/>
    <w:rsid w:val="001E3D4B"/>
    <w:rsid w:val="00212C35"/>
    <w:rsid w:val="00213118"/>
    <w:rsid w:val="00217267"/>
    <w:rsid w:val="00223156"/>
    <w:rsid w:val="00224B0D"/>
    <w:rsid w:val="0024722A"/>
    <w:rsid w:val="00264860"/>
    <w:rsid w:val="00294B02"/>
    <w:rsid w:val="002A20DD"/>
    <w:rsid w:val="002A51DF"/>
    <w:rsid w:val="002B3198"/>
    <w:rsid w:val="002D539B"/>
    <w:rsid w:val="002F1F16"/>
    <w:rsid w:val="00312F77"/>
    <w:rsid w:val="00314D04"/>
    <w:rsid w:val="00380BCE"/>
    <w:rsid w:val="00384E46"/>
    <w:rsid w:val="003A03D9"/>
    <w:rsid w:val="003A4C8B"/>
    <w:rsid w:val="003B12D9"/>
    <w:rsid w:val="003C468E"/>
    <w:rsid w:val="003E454A"/>
    <w:rsid w:val="003F468D"/>
    <w:rsid w:val="004154AF"/>
    <w:rsid w:val="00420207"/>
    <w:rsid w:val="004308F6"/>
    <w:rsid w:val="004338D3"/>
    <w:rsid w:val="00447AEC"/>
    <w:rsid w:val="004602FC"/>
    <w:rsid w:val="00470C68"/>
    <w:rsid w:val="00474A50"/>
    <w:rsid w:val="00477C4B"/>
    <w:rsid w:val="00485025"/>
    <w:rsid w:val="004A1840"/>
    <w:rsid w:val="00506910"/>
    <w:rsid w:val="00513323"/>
    <w:rsid w:val="0051346D"/>
    <w:rsid w:val="00533F5B"/>
    <w:rsid w:val="0054059F"/>
    <w:rsid w:val="00595B01"/>
    <w:rsid w:val="005D3312"/>
    <w:rsid w:val="006026C5"/>
    <w:rsid w:val="00614F22"/>
    <w:rsid w:val="00617BDE"/>
    <w:rsid w:val="0062451D"/>
    <w:rsid w:val="00627E5C"/>
    <w:rsid w:val="00630470"/>
    <w:rsid w:val="00641107"/>
    <w:rsid w:val="0064245C"/>
    <w:rsid w:val="006451BB"/>
    <w:rsid w:val="00654B87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73CF"/>
    <w:rsid w:val="006C2361"/>
    <w:rsid w:val="006F76D2"/>
    <w:rsid w:val="00700792"/>
    <w:rsid w:val="007057EF"/>
    <w:rsid w:val="00706D42"/>
    <w:rsid w:val="0072122F"/>
    <w:rsid w:val="00722248"/>
    <w:rsid w:val="00724906"/>
    <w:rsid w:val="00725357"/>
    <w:rsid w:val="00733949"/>
    <w:rsid w:val="00744A2D"/>
    <w:rsid w:val="00744ADA"/>
    <w:rsid w:val="007552E2"/>
    <w:rsid w:val="00771BD5"/>
    <w:rsid w:val="00774261"/>
    <w:rsid w:val="0079136F"/>
    <w:rsid w:val="0079261D"/>
    <w:rsid w:val="007C69FB"/>
    <w:rsid w:val="007D1FDC"/>
    <w:rsid w:val="007E1DB2"/>
    <w:rsid w:val="00804441"/>
    <w:rsid w:val="00823768"/>
    <w:rsid w:val="008335F5"/>
    <w:rsid w:val="008524BB"/>
    <w:rsid w:val="0085384F"/>
    <w:rsid w:val="00871053"/>
    <w:rsid w:val="00872FCD"/>
    <w:rsid w:val="00876251"/>
    <w:rsid w:val="00890032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4FE2"/>
    <w:rsid w:val="009B06AB"/>
    <w:rsid w:val="009B33F1"/>
    <w:rsid w:val="009B7B09"/>
    <w:rsid w:val="009D1880"/>
    <w:rsid w:val="009D2748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21C"/>
    <w:rsid w:val="00B0386E"/>
    <w:rsid w:val="00B04E79"/>
    <w:rsid w:val="00B115AE"/>
    <w:rsid w:val="00B20050"/>
    <w:rsid w:val="00B2513F"/>
    <w:rsid w:val="00B26438"/>
    <w:rsid w:val="00B31151"/>
    <w:rsid w:val="00B359FF"/>
    <w:rsid w:val="00B940A8"/>
    <w:rsid w:val="00BB5A2B"/>
    <w:rsid w:val="00C032C9"/>
    <w:rsid w:val="00C1273A"/>
    <w:rsid w:val="00C20E68"/>
    <w:rsid w:val="00C82D9F"/>
    <w:rsid w:val="00C904D8"/>
    <w:rsid w:val="00CA2425"/>
    <w:rsid w:val="00CA3BE7"/>
    <w:rsid w:val="00CA4525"/>
    <w:rsid w:val="00CB56D6"/>
    <w:rsid w:val="00CB5F3F"/>
    <w:rsid w:val="00D0105C"/>
    <w:rsid w:val="00D052DB"/>
    <w:rsid w:val="00D21DE2"/>
    <w:rsid w:val="00D30E83"/>
    <w:rsid w:val="00D35536"/>
    <w:rsid w:val="00D430B3"/>
    <w:rsid w:val="00D6536B"/>
    <w:rsid w:val="00D800DA"/>
    <w:rsid w:val="00D966CD"/>
    <w:rsid w:val="00DC7ACE"/>
    <w:rsid w:val="00DE25FF"/>
    <w:rsid w:val="00DF2532"/>
    <w:rsid w:val="00E122C4"/>
    <w:rsid w:val="00E27608"/>
    <w:rsid w:val="00E31920"/>
    <w:rsid w:val="00E31DF3"/>
    <w:rsid w:val="00E963F9"/>
    <w:rsid w:val="00EA6865"/>
    <w:rsid w:val="00EB0685"/>
    <w:rsid w:val="00EB68DE"/>
    <w:rsid w:val="00EC4D93"/>
    <w:rsid w:val="00ED0C75"/>
    <w:rsid w:val="00EE2A3B"/>
    <w:rsid w:val="00EF37CD"/>
    <w:rsid w:val="00F235C4"/>
    <w:rsid w:val="00F36D5F"/>
    <w:rsid w:val="00F44A56"/>
    <w:rsid w:val="00F53232"/>
    <w:rsid w:val="00F64363"/>
    <w:rsid w:val="00F6612F"/>
    <w:rsid w:val="00FA6CB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E56A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Zdenka Výmolová</cp:lastModifiedBy>
  <cp:revision>2</cp:revision>
  <cp:lastPrinted>2024-12-12T07:17:00Z</cp:lastPrinted>
  <dcterms:created xsi:type="dcterms:W3CDTF">2024-12-12T12:49:00Z</dcterms:created>
  <dcterms:modified xsi:type="dcterms:W3CDTF">2024-12-12T12:49:00Z</dcterms:modified>
</cp:coreProperties>
</file>