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Město Hrušovany nad Jevišovkou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města Hrušovany nad Jevišovkou</w:t>
      </w:r>
    </w:p>
    <w:p>
      <w:pPr>
        <w:pStyle w:val="Normal"/>
        <w:suppressAutoHyphens w:val="true"/>
        <w:overflowPunct w:val="false"/>
        <w:spacing w:before="0" w:after="0"/>
        <w:jc w:val="center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města Hrušovany nad Jevišovkou,</w:t>
      </w:r>
    </w:p>
    <w:p>
      <w:pPr>
        <w:pStyle w:val="Normal"/>
        <w:suppressAutoHyphens w:val="true"/>
        <w:overflowPunct w:val="false"/>
        <w:spacing w:before="0" w:after="0"/>
        <w:jc w:val="center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 w:val="false"/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</w:rPr>
        <w:t>kterou se zakazuje konzumace alkoholických nápojů a kouření a používání elektronických cigaret na vymezených veřejných prostranstvích</w:t>
      </w:r>
    </w:p>
    <w:p>
      <w:pPr>
        <w:pStyle w:val="Normal"/>
        <w:widowControl w:val="false"/>
        <w:spacing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widowControl w:val="false"/>
        <w:spacing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Annotationtext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eastAsia="Times New Roman" w:cs="Arial" w:ascii="Arial" w:hAnsi="Arial"/>
          <w:sz w:val="22"/>
          <w:szCs w:val="22"/>
          <w:lang w:eastAsia="cs-CZ"/>
        </w:rPr>
        <w:t>Zastupitelstvo města Hrušovany nad Jevišovkou se na svém zasedání konaném dne </w:t>
      </w:r>
      <w:r>
        <w:rPr>
          <w:rFonts w:eastAsia="Times New Roman" w:cs="Arial" w:ascii="Arial" w:hAnsi="Arial"/>
          <w:sz w:val="22"/>
          <w:szCs w:val="22"/>
          <w:shd w:fill="auto" w:val="clear"/>
          <w:lang w:eastAsia="cs-CZ"/>
        </w:rPr>
        <w:t xml:space="preserve">12.6.2024 </w:t>
      </w:r>
      <w:r>
        <w:rPr>
          <w:rFonts w:eastAsia="Times New Roman" w:cs="Arial" w:ascii="Arial" w:hAnsi="Arial"/>
          <w:sz w:val="22"/>
          <w:szCs w:val="22"/>
          <w:lang w:eastAsia="cs-CZ"/>
        </w:rPr>
        <w:t>usnesením č. UZ-33-2/2</w:t>
      </w:r>
      <w:r>
        <w:rPr>
          <w:rFonts w:eastAsia="Times New Roman" w:cs="Arial" w:ascii="Arial" w:hAnsi="Arial"/>
          <w:sz w:val="22"/>
          <w:szCs w:val="22"/>
          <w:shd w:fill="auto" w:val="clear"/>
          <w:lang w:eastAsia="cs-CZ"/>
        </w:rPr>
        <w:t>4</w:t>
      </w:r>
      <w:r>
        <w:rPr>
          <w:rFonts w:eastAsia="Times New Roman" w:cs="Arial" w:ascii="Arial" w:hAnsi="Arial"/>
          <w:sz w:val="22"/>
          <w:szCs w:val="22"/>
          <w:shd w:fill="auto" w:val="clear"/>
          <w:lang w:eastAsia="cs-CZ"/>
        </w:rPr>
        <w:t xml:space="preserve"> </w:t>
      </w:r>
      <w:r>
        <w:rPr>
          <w:rFonts w:eastAsia="Times New Roman" w:cs="Arial" w:ascii="Arial" w:hAnsi="Arial"/>
          <w:sz w:val="22"/>
          <w:szCs w:val="22"/>
          <w:shd w:fill="auto" w:val="clear"/>
          <w:lang w:eastAsia="cs-CZ"/>
        </w:rPr>
        <w:t xml:space="preserve">a č. UZ-35-2/24 </w:t>
      </w:r>
      <w:r>
        <w:rPr>
          <w:rFonts w:eastAsia="Times New Roman" w:cs="Arial" w:ascii="Arial" w:hAnsi="Arial"/>
          <w:sz w:val="22"/>
          <w:szCs w:val="22"/>
          <w:lang w:eastAsia="cs-CZ"/>
        </w:rPr>
        <w:t xml:space="preserve">usneslo vydat na základě ustanovení § 10 písm. a) a d), </w:t>
      </w:r>
      <w:hyperlink r:id="rId2">
        <w:r>
          <w:rPr>
            <w:rFonts w:eastAsia="Times New Roman" w:cs="Arial" w:ascii="Arial" w:hAnsi="Arial"/>
            <w:sz w:val="22"/>
            <w:szCs w:val="22"/>
            <w:lang w:eastAsia="cs-CZ"/>
          </w:rPr>
          <w:t>§ 84 odst. 2 písm. h) zákona č. 128/2000 Sb.</w:t>
        </w:r>
      </w:hyperlink>
      <w:r>
        <w:rPr>
          <w:rFonts w:eastAsia="Times New Roman" w:cs="Arial" w:ascii="Arial" w:hAnsi="Arial"/>
          <w:sz w:val="22"/>
          <w:szCs w:val="22"/>
          <w:lang w:eastAsia="cs-CZ"/>
        </w:rPr>
        <w:t xml:space="preserve">, o obcích (obecní zřízení), ve znění pozdějších předpisů </w:t>
      </w:r>
      <w:r>
        <w:rPr>
          <w:rFonts w:eastAsia="Times New Roman" w:cs="Arial" w:ascii="Arial" w:hAnsi="Arial"/>
          <w:color w:val="000000"/>
          <w:sz w:val="22"/>
          <w:szCs w:val="22"/>
          <w:lang w:eastAsia="cs-CZ"/>
        </w:rPr>
        <w:t xml:space="preserve">a v souladu s ustanovením </w:t>
      </w:r>
      <w:r>
        <w:rPr>
          <w:rFonts w:eastAsia="Times New Roman" w:cs="Arial" w:ascii="Arial" w:hAnsi="Arial"/>
          <w:sz w:val="22"/>
          <w:szCs w:val="22"/>
          <w:lang w:eastAsia="cs-CZ"/>
        </w:rPr>
        <w:t xml:space="preserve">§ 17 odst. 1 a odst. 2 písm. a) zákona č. 65/2017 Sb., o ochraně zdraví před škodlivými účinky návykových látek, </w:t>
      </w:r>
      <w:r>
        <w:rPr>
          <w:rFonts w:eastAsia="Times New Roman" w:cs="Arial" w:ascii="Arial" w:hAnsi="Arial"/>
          <w:color w:val="000000"/>
          <w:sz w:val="22"/>
          <w:szCs w:val="22"/>
          <w:lang w:eastAsia="cs-CZ"/>
        </w:rPr>
        <w:t>ve znění pozdějších předpisů, tuto obecně závaznou vyhlášku</w:t>
      </w:r>
      <w:r>
        <w:rPr>
          <w:rFonts w:eastAsia="Times New Roman" w:cs="Arial" w:ascii="Arial" w:hAnsi="Arial"/>
          <w:sz w:val="22"/>
          <w:szCs w:val="22"/>
          <w:lang w:eastAsia="cs-CZ"/>
        </w:rPr>
        <w:t xml:space="preserve"> (dále jen “vyhláška“).</w:t>
      </w:r>
    </w:p>
    <w:p>
      <w:pPr>
        <w:pStyle w:val="Normal"/>
        <w:widowControl w:val="false"/>
        <w:spacing w:before="120" w:after="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 w:val="false"/>
        <w:spacing w:before="12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widowControl w:val="false"/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Předmět a cíl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widowControl w:val="false"/>
        <w:numPr>
          <w:ilvl w:val="0"/>
          <w:numId w:val="7"/>
        </w:numPr>
        <w:spacing w:before="0" w:after="0"/>
        <w:ind w:hanging="284" w:left="284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>Předmětem této vyhlášky je regulace konzumace alkoholických nápojů a kouření, neboť se jedná o činnosti, které by mohly narušit veřejný pořádek ve městě nebo být v rozporu s dobrými mravy, ochranou bezpečnosti, zdraví a majetku.</w:t>
      </w:r>
    </w:p>
    <w:p>
      <w:pPr>
        <w:pStyle w:val="Normal"/>
        <w:widowControl w:val="false"/>
        <w:spacing w:before="0" w:after="0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widowControl w:val="false"/>
        <w:spacing w:before="0" w:after="0"/>
        <w:ind w:hanging="284" w:left="284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 xml:space="preserve">2) Cílem této vyhlášky je v rámci zabezpečení místních záležitostí veřejného pořádku vymezit některá místa veřejného prostranství, na kterých se zakazuje konzumovat alkoholické nápoje a kouřit a tím vytvořit opatření směřující k ochraně veřejného pořádku, dobrých mravů a </w:t>
      </w:r>
      <w:r>
        <w:rPr/>
        <w:t xml:space="preserve">k </w:t>
      </w:r>
      <w:r>
        <w:rPr>
          <w:rFonts w:cs="Arial" w:ascii="Arial" w:hAnsi="Arial"/>
        </w:rPr>
        <w:t>posílení ochrany zdraví dětí a mládeže před škodlivými účinky alkoholu, kouření a používání elektronických cigaret.</w:t>
      </w:r>
      <w:r>
        <w:rPr>
          <w:rFonts w:eastAsia="Times New Roman" w:cs="Arial" w:ascii="Arial" w:hAnsi="Arial"/>
          <w:lang w:eastAsia="cs-CZ"/>
        </w:rPr>
        <w:t xml:space="preserve"> </w:t>
      </w:r>
    </w:p>
    <w:p>
      <w:pPr>
        <w:pStyle w:val="Normal"/>
        <w:widowControl w:val="false"/>
        <w:spacing w:before="0" w:after="0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 xml:space="preserve"> </w:t>
      </w:r>
    </w:p>
    <w:p>
      <w:pPr>
        <w:pStyle w:val="Normal"/>
        <w:widowControl w:val="false"/>
        <w:spacing w:before="12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widowControl w:val="false"/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Vymezení pojmů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284" w:left="284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Veřejným prostranstvím jsou všechna náměstí, ulice, tržnice, chodníky, veřejná zeleň, parky a další prostory přístupné každému bez omezení tedy sloužící obecnému užívání, a to bez ohledu na vlastnictví k tomuto prostoru</w:t>
      </w:r>
      <w:r>
        <w:rPr>
          <w:rFonts w:cs="Arial" w:ascii="Arial" w:hAnsi="Arial"/>
          <w:bCs/>
          <w:vertAlign w:val="superscript"/>
        </w:rPr>
        <w:t>1/</w:t>
      </w:r>
      <w:r>
        <w:rPr>
          <w:rFonts w:cs="Arial" w:ascii="Arial" w:hAnsi="Arial"/>
          <w:bCs/>
        </w:rPr>
        <w:t>.</w:t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hanging="0" w:left="284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284" w:left="284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Alkoholickým nápojem se rozumí nápoj obsahující více než 0,5 % objemových ethanolu</w:t>
      </w:r>
      <w:r>
        <w:rPr>
          <w:rFonts w:cs="Arial" w:ascii="Arial" w:hAnsi="Arial"/>
          <w:bCs/>
          <w:vertAlign w:val="superscript"/>
        </w:rPr>
        <w:t>2/</w:t>
      </w:r>
      <w:r>
        <w:rPr>
          <w:rFonts w:cs="Arial" w:ascii="Arial" w:hAnsi="Arial"/>
          <w:bCs/>
        </w:rPr>
        <w:t>.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284" w:left="284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Konzumací alkoholických nápojů </w:t>
      </w:r>
      <w:r>
        <w:rPr>
          <w:rFonts w:eastAsia="Times New Roman" w:cs="Arial" w:ascii="Arial" w:hAnsi="Arial"/>
          <w:lang w:eastAsia="cs-CZ"/>
        </w:rPr>
        <w:t xml:space="preserve">na </w:t>
      </w:r>
      <w:r>
        <w:rPr>
          <w:rFonts w:cs="Arial" w:ascii="Arial" w:hAnsi="Arial"/>
        </w:rPr>
        <w:t xml:space="preserve">veřejném prostranství se rozumí požívání alkoholického nápoje nebo zdržování se na veřejném prostranství s otevřenou lahví anebo jinou nádobou s alkoholickým nápojem. 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widowControl w:val="false"/>
        <w:spacing w:before="120" w:after="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 w:val="false"/>
        <w:spacing w:before="120" w:after="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Footer"/>
        <w:pBdr>
          <w:top w:val="single" w:sz="4" w:space="1" w:color="000000"/>
        </w:pBdr>
        <w:spacing w:before="0" w:after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20"/>
          <w:szCs w:val="20"/>
          <w:vertAlign w:val="superscript"/>
        </w:rPr>
        <w:t>1/</w:t>
      </w:r>
      <w:r>
        <w:rPr>
          <w:rFonts w:cs="Arial" w:ascii="Arial" w:hAnsi="Arial"/>
          <w:sz w:val="20"/>
          <w:szCs w:val="20"/>
        </w:rPr>
        <w:t xml:space="preserve"> §</w:t>
      </w:r>
      <w:r>
        <w:rPr>
          <w:rFonts w:cs="Arial" w:ascii="Arial" w:hAnsi="Arial"/>
          <w:sz w:val="18"/>
          <w:szCs w:val="18"/>
        </w:rPr>
        <w:t xml:space="preserve"> 34 zákona č. 128/2000 Sb., o obcích (obecní zřízení), ve znění pozdějších předpisů</w:t>
      </w:r>
    </w:p>
    <w:p>
      <w:pPr>
        <w:pStyle w:val="Footer"/>
        <w:pBdr>
          <w:top w:val="single" w:sz="4" w:space="1" w:color="000000"/>
        </w:pBdr>
        <w:spacing w:before="0" w:after="0"/>
        <w:ind w:hanging="207" w:left="567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20"/>
          <w:szCs w:val="20"/>
          <w:vertAlign w:val="superscript"/>
        </w:rPr>
        <w:t>2/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§ 2 písm. f) zákona č. 65/2017 Sb., </w:t>
      </w:r>
      <w:r>
        <w:rPr>
          <w:rFonts w:eastAsia="Times New Roman" w:cs="Arial" w:ascii="Arial" w:hAnsi="Arial"/>
          <w:sz w:val="18"/>
          <w:szCs w:val="18"/>
          <w:lang w:eastAsia="cs-CZ"/>
        </w:rPr>
        <w:t xml:space="preserve">o ochraně zdraví před škodlivými účinky návykových látek, </w:t>
      </w:r>
      <w:r>
        <w:rPr>
          <w:rFonts w:eastAsia="Times New Roman" w:cs="Arial" w:ascii="Arial" w:hAnsi="Arial"/>
          <w:color w:val="000000"/>
          <w:sz w:val="18"/>
          <w:szCs w:val="18"/>
          <w:lang w:eastAsia="cs-CZ"/>
        </w:rPr>
        <w:t>ve znění pozdějších předpisů</w:t>
      </w:r>
    </w:p>
    <w:p>
      <w:pPr>
        <w:pStyle w:val="Normal"/>
        <w:widowControl w:val="false"/>
        <w:spacing w:before="12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widowControl w:val="false"/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Zákaz konzumace alkoholických nápojů na veřejném prostranství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spacing w:before="0" w:after="0"/>
        <w:ind w:hanging="284" w:left="284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 xml:space="preserve">Zakazuje se konzumace alkoholických nápojů na vymezených plochách </w:t>
      </w:r>
      <w:r>
        <w:rPr>
          <w:rFonts w:cs="Arial" w:ascii="Arial" w:hAnsi="Arial"/>
        </w:rPr>
        <w:t>veřejného prostranství</w:t>
      </w:r>
      <w:r>
        <w:rPr>
          <w:rFonts w:eastAsia="Times New Roman" w:cs="Arial" w:ascii="Arial" w:hAnsi="Arial"/>
          <w:lang w:eastAsia="cs-CZ"/>
        </w:rPr>
        <w:t xml:space="preserve"> ve městě Hrušovany nad Jevišovkou. Vymezené </w:t>
      </w:r>
      <w:r>
        <w:rPr>
          <w:rFonts w:cs="Arial" w:ascii="Arial" w:hAnsi="Arial"/>
        </w:rPr>
        <w:t xml:space="preserve">plochy veřejného prostranství se zákazem konzumace alkoholických nápojů jsou </w:t>
      </w:r>
      <w:r>
        <w:rPr>
          <w:rFonts w:eastAsia="Times New Roman" w:cs="Arial" w:ascii="Arial" w:hAnsi="Arial"/>
          <w:lang w:eastAsia="cs-CZ"/>
        </w:rPr>
        <w:t xml:space="preserve">uvedeny v </w:t>
      </w:r>
      <w:hyperlink r:id="rId3">
        <w:r>
          <w:rPr>
            <w:rFonts w:eastAsia="Times New Roman" w:cs="Arial" w:ascii="Arial" w:hAnsi="Arial"/>
            <w:lang w:eastAsia="cs-CZ"/>
          </w:rPr>
          <w:t>příloze č. 1,</w:t>
        </w:r>
      </w:hyperlink>
      <w:r>
        <w:rPr>
          <w:rFonts w:eastAsia="Times New Roman" w:cs="Arial" w:ascii="Arial" w:hAnsi="Arial"/>
          <w:lang w:eastAsia="cs-CZ"/>
        </w:rPr>
        <w:t xml:space="preserve"> která je nedílnou součástí této vyhlášky.</w:t>
      </w:r>
    </w:p>
    <w:p>
      <w:pPr>
        <w:pStyle w:val="Normal"/>
        <w:spacing w:before="0" w:after="0"/>
        <w:ind w:left="360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 xml:space="preserve">Mimo veřejná prostranství uvedená v odst. 1 se dále zakazuje konzumace alkoholických nápojů </w:t>
      </w:r>
      <w:r>
        <w:rPr>
          <w:rFonts w:cs="Arial" w:ascii="Arial" w:hAnsi="Arial"/>
        </w:rPr>
        <w:t>na těchto veřejných prostranstvích</w:t>
      </w:r>
      <w:r>
        <w:rPr>
          <w:rFonts w:eastAsia="Times New Roman" w:cs="Arial" w:ascii="Arial" w:hAnsi="Arial"/>
          <w:lang w:eastAsia="cs-CZ"/>
        </w:rPr>
        <w:t>:</w:t>
      </w:r>
    </w:p>
    <w:p>
      <w:pPr>
        <w:pStyle w:val="ListParagraph"/>
        <w:numPr>
          <w:ilvl w:val="0"/>
          <w:numId w:val="4"/>
        </w:numPr>
        <w:spacing w:before="0" w:after="0"/>
        <w:ind w:hanging="425" w:left="822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 xml:space="preserve">veřejně přístupná zařízení dětských hřišť a sportovišť a v okruhu 50 m od nich, </w:t>
      </w:r>
    </w:p>
    <w:p>
      <w:pPr>
        <w:pStyle w:val="ListParagraph"/>
        <w:numPr>
          <w:ilvl w:val="0"/>
          <w:numId w:val="4"/>
        </w:numPr>
        <w:spacing w:before="0" w:after="0"/>
        <w:ind w:hanging="425" w:left="822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>veřejná prostranství, která se nachází v okruhu 50 m od budov škol, školských zařízení, zařízení sociální a zdravotní péče,</w:t>
      </w:r>
    </w:p>
    <w:p>
      <w:pPr>
        <w:pStyle w:val="ListParagraph"/>
        <w:numPr>
          <w:ilvl w:val="0"/>
          <w:numId w:val="4"/>
        </w:numPr>
        <w:spacing w:before="0" w:after="0"/>
        <w:ind w:hanging="425" w:left="822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>na zastávkách autobusové dopravy a v okruhu 50 m od nich.</w:t>
      </w:r>
    </w:p>
    <w:p>
      <w:pPr>
        <w:pStyle w:val="ListParagraph"/>
        <w:spacing w:before="0" w:after="0"/>
        <w:ind w:left="426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>Ustanovení odst. 1 a 2 se nevztahuje na konzumaci alkoholických nápojů:</w:t>
      </w:r>
    </w:p>
    <w:p>
      <w:pPr>
        <w:pStyle w:val="Normal"/>
        <w:numPr>
          <w:ilvl w:val="0"/>
          <w:numId w:val="5"/>
        </w:numPr>
        <w:spacing w:before="0" w:after="0"/>
        <w:ind w:hanging="357" w:left="754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>na restauračních zahrádkách a předzahrádkách, které jsou součástí restauračních zařízení, a to po dobu jejich provozu,</w:t>
      </w:r>
    </w:p>
    <w:p>
      <w:pPr>
        <w:pStyle w:val="Normal"/>
        <w:numPr>
          <w:ilvl w:val="0"/>
          <w:numId w:val="5"/>
        </w:numPr>
        <w:spacing w:before="0" w:after="0"/>
        <w:ind w:hanging="357" w:left="754"/>
        <w:jc w:val="both"/>
        <w:rPr>
          <w:rFonts w:ascii="Arial" w:hAnsi="Arial" w:eastAsia="Times New Roman" w:cs="Arial"/>
          <w:color w:val="000000"/>
          <w:lang w:eastAsia="cs-CZ"/>
        </w:rPr>
      </w:pPr>
      <w:r>
        <w:rPr>
          <w:rFonts w:cs="Arial" w:ascii="Arial" w:hAnsi="Arial"/>
        </w:rPr>
        <w:t>při konání veřejnosti přístupných kulturních a sportovních akcí a trhů konaných na veřejných prostranstvích,</w:t>
      </w:r>
    </w:p>
    <w:p>
      <w:pPr>
        <w:pStyle w:val="Normal"/>
        <w:numPr>
          <w:ilvl w:val="0"/>
          <w:numId w:val="5"/>
        </w:numPr>
        <w:spacing w:before="0" w:after="0"/>
        <w:ind w:hanging="357" w:left="754"/>
        <w:jc w:val="both"/>
        <w:rPr>
          <w:rFonts w:ascii="Arial" w:hAnsi="Arial" w:eastAsia="Times New Roman" w:cs="Arial"/>
          <w:color w:val="000000"/>
          <w:lang w:eastAsia="cs-CZ"/>
        </w:rPr>
      </w:pPr>
      <w:r>
        <w:rPr>
          <w:rFonts w:eastAsia="Times New Roman" w:cs="Arial" w:ascii="Arial" w:hAnsi="Arial"/>
          <w:lang w:eastAsia="cs-CZ"/>
        </w:rPr>
        <w:t xml:space="preserve">na dny 31. prosince a 1. ledna příslušného kalendářního roku z důvodu příchodu nového roku.  </w:t>
      </w:r>
      <w:r>
        <w:rPr>
          <w:rFonts w:eastAsia="Times New Roman" w:cs="Arial" w:ascii="Arial" w:hAnsi="Arial"/>
          <w:color w:val="000000"/>
          <w:lang w:eastAsia="cs-CZ"/>
        </w:rPr>
        <w:t xml:space="preserve"> </w:t>
      </w:r>
    </w:p>
    <w:p>
      <w:pPr>
        <w:pStyle w:val="Normal"/>
        <w:spacing w:before="0" w:after="0"/>
        <w:ind w:left="360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 xml:space="preserve">  </w:t>
      </w:r>
    </w:p>
    <w:p>
      <w:pPr>
        <w:pStyle w:val="Normal"/>
        <w:widowControl w:val="false"/>
        <w:spacing w:before="12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widowControl w:val="false"/>
        <w:spacing w:before="0" w:after="0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 xml:space="preserve">Zákaz kouření a používání elektronických cigaret 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Zakazuje se kouřit a používat elektronické cigarety:</w:t>
      </w:r>
    </w:p>
    <w:p>
      <w:pPr>
        <w:pStyle w:val="Normal"/>
        <w:widowControl w:val="false"/>
        <w:numPr>
          <w:ilvl w:val="0"/>
          <w:numId w:val="6"/>
        </w:numPr>
        <w:spacing w:before="0" w:after="0"/>
        <w:ind w:hanging="284" w:left="284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u škol a školských zařízení a v okruhu 50 m od nich,</w:t>
      </w:r>
    </w:p>
    <w:p>
      <w:pPr>
        <w:pStyle w:val="Normal"/>
        <w:widowControl w:val="false"/>
        <w:numPr>
          <w:ilvl w:val="0"/>
          <w:numId w:val="6"/>
        </w:numPr>
        <w:spacing w:before="0" w:after="0"/>
        <w:ind w:hanging="284" w:left="284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na veřejně přístupných dětských hřištích a v okruhu 10 m od nich.</w:t>
      </w:r>
    </w:p>
    <w:p>
      <w:pPr>
        <w:pStyle w:val="Normal"/>
        <w:widowControl w:val="false"/>
        <w:spacing w:before="0" w:after="0"/>
        <w:ind w:left="7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before="12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5</w:t>
      </w:r>
    </w:p>
    <w:p>
      <w:pPr>
        <w:pStyle w:val="Normal"/>
        <w:widowControl w:val="false"/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Tato vyhláška nabývá účinnosti počátkem patnáctého dne následujícího po dni jejího vyhlášení. 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21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045"/>
        <w:gridCol w:w="3095"/>
        <w:gridCol w:w="3070"/>
      </w:tblGrid>
      <w:tr>
        <w:trPr/>
        <w:tc>
          <w:tcPr>
            <w:tcW w:w="3045" w:type="dxa"/>
            <w:tcBorders>
              <w:top w:val="dotted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Ing. Eliška Volná v.r.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starostka města</w:t>
            </w:r>
          </w:p>
        </w:tc>
        <w:tc>
          <w:tcPr>
            <w:tcW w:w="3095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070" w:type="dxa"/>
            <w:tcBorders>
              <w:top w:val="dotted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Ing. Věra Vráblíková v.r.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místostarostka města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cs="Arial" w:ascii="Arial" w:hAnsi="Arial"/>
          <w:b/>
        </w:rPr>
        <w:t>Příloha č. 1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widowControl w:val="false"/>
        <w:pBdr>
          <w:bottom w:val="single" w:sz="4" w:space="1" w:color="000000"/>
        </w:pBdr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Vymezení ploch veřejného prostranství se zákazem konzumace alkoholu </w:t>
        <w:br/>
        <w:t>ve městě Hrušovany nad Jevišovkou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náměstí Míru</w:t>
      </w:r>
      <w:r>
        <w:rPr>
          <w:rFonts w:ascii="Times New Roman" w:hAnsi="Times New Roman"/>
          <w:sz w:val="24"/>
          <w:szCs w:val="24"/>
        </w:rPr>
        <w:t xml:space="preserve"> – vyznačené části p.č. 3456/5, 91/23, 91/1, 3456/169, 3418/1, 3456/171, 3456/20, 3418/11, 3456/168, 3418/1, 3418/10, </w:t>
      </w:r>
      <w:r>
        <w:rPr>
          <w:rFonts w:ascii="Times New Roman" w:hAnsi="Times New Roman"/>
          <w:sz w:val="24"/>
          <w:szCs w:val="24"/>
        </w:rPr>
        <w:t xml:space="preserve">3456/3, </w:t>
      </w:r>
      <w:r>
        <w:rPr>
          <w:rFonts w:ascii="Times New Roman" w:hAnsi="Times New Roman"/>
          <w:sz w:val="24"/>
          <w:szCs w:val="24"/>
        </w:rPr>
        <w:t xml:space="preserve">3456/170, 3418/11, 3456/108, 3456/167, 3456/58, 3456/57, 3456/122, 3456/64, 3456/180, 3456/181, </w:t>
      </w:r>
      <w:r>
        <w:rPr>
          <w:rFonts w:ascii="Times New Roman" w:hAnsi="Times New Roman"/>
          <w:sz w:val="24"/>
          <w:szCs w:val="24"/>
        </w:rPr>
        <w:t xml:space="preserve">5636/10, 5636/16, </w:t>
      </w:r>
      <w:r>
        <w:rPr>
          <w:rFonts w:ascii="Times New Roman" w:hAnsi="Times New Roman"/>
          <w:sz w:val="24"/>
          <w:szCs w:val="24"/>
        </w:rPr>
        <w:t>5955, 6454/2, 3456/3, 3418/1, 3418/8, 52/1, 200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57"/>
        <w:jc w:val="both"/>
        <w:rPr>
          <w:rFonts w:ascii="Times New Roman" w:hAnsi="Times New Roman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0</wp:posOffset>
            </wp:positionH>
            <wp:positionV relativeFrom="paragraph">
              <wp:posOffset>86995</wp:posOffset>
            </wp:positionV>
            <wp:extent cx="5760720" cy="4091305"/>
            <wp:effectExtent l="0" t="0" r="0" b="0"/>
            <wp:wrapTopAndBottom/>
            <wp:docPr id="1" name="Obrázek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park za radnicí</w:t>
      </w:r>
      <w:r>
        <w:rPr>
          <w:rFonts w:ascii="Times New Roman" w:hAnsi="Times New Roman"/>
          <w:sz w:val="24"/>
          <w:szCs w:val="24"/>
        </w:rPr>
        <w:t xml:space="preserve"> – vyznačené části p.č. 92/3 a 1568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57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1116965</wp:posOffset>
            </wp:positionH>
            <wp:positionV relativeFrom="paragraph">
              <wp:posOffset>74295</wp:posOffset>
            </wp:positionV>
            <wp:extent cx="3603625" cy="2541905"/>
            <wp:effectExtent l="0" t="0" r="0" b="0"/>
            <wp:wrapTopAndBottom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 kostela</w:t>
      </w:r>
      <w:r>
        <w:rPr>
          <w:rFonts w:ascii="Times New Roman" w:hAnsi="Times New Roman"/>
          <w:sz w:val="24"/>
          <w:szCs w:val="24"/>
        </w:rPr>
        <w:t xml:space="preserve"> – vyznačené části p.č. 17/1, 58/1 a 3456/9</w:t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1080770</wp:posOffset>
            </wp:positionH>
            <wp:positionV relativeFrom="paragraph">
              <wp:posOffset>160655</wp:posOffset>
            </wp:positionV>
            <wp:extent cx="3599815" cy="3006090"/>
            <wp:effectExtent l="0" t="0" r="0" b="0"/>
            <wp:wrapTopAndBottom/>
            <wp:docPr id="3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parčík u ul. Rudé Armády</w:t>
      </w:r>
      <w:r>
        <w:rPr>
          <w:rFonts w:ascii="Times New Roman" w:hAnsi="Times New Roman"/>
          <w:sz w:val="24"/>
          <w:szCs w:val="24"/>
        </w:rPr>
        <w:t xml:space="preserve"> – vyznačená p.č. 66/1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57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50800</wp:posOffset>
            </wp:positionV>
            <wp:extent cx="3599815" cy="2854960"/>
            <wp:effectExtent l="0" t="0" r="0" b="0"/>
            <wp:wrapTopAndBottom/>
            <wp:docPr id="4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alej v zámeckém parku</w:t>
      </w:r>
      <w:r>
        <w:rPr>
          <w:rFonts w:ascii="Times New Roman" w:hAnsi="Times New Roman"/>
          <w:sz w:val="24"/>
          <w:szCs w:val="24"/>
        </w:rPr>
        <w:t xml:space="preserve"> – vyznačené části p.č. 8/1, 9/1, 17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57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5760720" cy="3190240"/>
            <wp:effectExtent l="0" t="0" r="0" b="0"/>
            <wp:wrapTopAndBottom/>
            <wp:docPr id="5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zámek</w:t>
      </w:r>
      <w:r>
        <w:rPr>
          <w:rFonts w:ascii="Times New Roman" w:hAnsi="Times New Roman"/>
          <w:sz w:val="24"/>
          <w:szCs w:val="24"/>
        </w:rPr>
        <w:t xml:space="preserve"> – vyznačená p.č. 2/2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57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1080770</wp:posOffset>
            </wp:positionH>
            <wp:positionV relativeFrom="paragraph">
              <wp:posOffset>63500</wp:posOffset>
            </wp:positionV>
            <wp:extent cx="3599815" cy="3060065"/>
            <wp:effectExtent l="0" t="0" r="0" b="0"/>
            <wp:wrapTopAndBottom/>
            <wp:docPr id="6" name="Obrázek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mokřady</w:t>
      </w:r>
      <w:r>
        <w:rPr>
          <w:rFonts w:ascii="Times New Roman" w:hAnsi="Times New Roman"/>
          <w:sz w:val="24"/>
          <w:szCs w:val="24"/>
        </w:rPr>
        <w:t xml:space="preserve"> – vyznačená p.č. 10035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57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1080770</wp:posOffset>
            </wp:positionH>
            <wp:positionV relativeFrom="paragraph">
              <wp:posOffset>3175</wp:posOffset>
            </wp:positionV>
            <wp:extent cx="3599815" cy="2865755"/>
            <wp:effectExtent l="0" t="0" r="0" b="0"/>
            <wp:wrapTopAndBottom/>
            <wp:docPr id="7" name="Obrázek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5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před hřbitovem</w:t>
      </w:r>
      <w:r>
        <w:rPr>
          <w:rFonts w:ascii="Times New Roman" w:hAnsi="Times New Roman"/>
          <w:sz w:val="24"/>
          <w:szCs w:val="24"/>
        </w:rPr>
        <w:t xml:space="preserve"> – vyznačené části p.č. 5610/2, 5610/4, 5636/14, 5867/1, 5867/2, 6455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599815" cy="3110230"/>
            <wp:effectExtent l="0" t="0" r="0" b="0"/>
            <wp:wrapTopAndBottom/>
            <wp:docPr id="8" name="Obrázek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8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Všechny výše uvedené parcely se nacházejí v k.ú. Hrušovany nad Jevišovkou.   </w:t>
      </w:r>
      <w:bookmarkStart w:id="0" w:name="_GoBack"/>
      <w:bookmarkEnd w:id="0"/>
    </w:p>
    <w:sectPr>
      <w:footerReference w:type="default" r:id="rId12"/>
      <w:type w:val="nextPage"/>
      <w:pgSz w:w="11906" w:h="16838"/>
      <w:pgMar w:left="1417" w:right="1417" w:gutter="0" w:header="0" w:top="1276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0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uiPriority w:val="99"/>
    <w:qFormat/>
    <w:rsid w:val="00f42839"/>
    <w:rPr>
      <w:sz w:val="22"/>
      <w:szCs w:val="22"/>
      <w:lang w:eastAsia="en-US"/>
    </w:rPr>
  </w:style>
  <w:style w:type="character" w:styleId="ZpatChar" w:customStyle="1">
    <w:name w:val="Zápatí Char"/>
    <w:uiPriority w:val="99"/>
    <w:qFormat/>
    <w:rsid w:val="00f42839"/>
    <w:rPr>
      <w:sz w:val="22"/>
      <w:szCs w:val="22"/>
      <w:lang w:eastAsia="en-US"/>
    </w:rPr>
  </w:style>
  <w:style w:type="character" w:styleId="TextbublinyChar" w:customStyle="1">
    <w:name w:val="Text bubliny Char"/>
    <w:link w:val="BalloonText"/>
    <w:uiPriority w:val="99"/>
    <w:semiHidden/>
    <w:qFormat/>
    <w:rsid w:val="00bd150b"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7596d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d7596d"/>
    <w:rPr>
      <w:lang w:eastAsia="en-US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d7596d"/>
    <w:rPr>
      <w:b/>
      <w:bCs/>
      <w:lang w:eastAsia="en-US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4742a"/>
    <w:pPr>
      <w:ind w:left="708"/>
    </w:pPr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f4283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f4283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bd15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eChar"/>
    <w:uiPriority w:val="99"/>
    <w:unhideWhenUsed/>
    <w:qFormat/>
    <w:rsid w:val="00d7596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d7596d"/>
    <w:pPr/>
    <w:rPr>
      <w:b/>
      <w:bCs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spi://module=&apos;ASPI&apos;&amp;link=&apos;128/2000 Sb.%252384&apos;&amp;ucin-k-dni=&apos;30.12.9999&apos;" TargetMode="External"/><Relationship Id="rId3" Type="http://schemas.openxmlformats.org/officeDocument/2006/relationships/hyperlink" Target="aspi://module=&apos;MUNI&apos;&amp;link=&apos;1/2008/Z %5B1107%5D%2523P%25F8%25EDl.1&apos;&amp;ucin-k-dni=&apos;30.12.9999&apos;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23CE-6009-4812-84EA-2B69EFD8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LibreOffice/7.6.6.3$Windows_X86_64 LibreOffice_project/d97b2716a9a4a2ce1391dee1765565ea469b0ae7</Application>
  <AppVersion>15.0000</AppVersion>
  <Pages>6</Pages>
  <Words>688</Words>
  <Characters>3921</Characters>
  <CharactersWithSpaces>4561</CharactersWithSpaces>
  <Paragraphs>54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2024-06-17T12:56:52Z</dcterms:created>
  <dc:creator/>
  <dc:description/>
  <dc:language>cs-CZ</dc:language>
  <cp:lastModifiedBy/>
  <dcterms:modified xsi:type="dcterms:W3CDTF">2024-06-17T13:01:07Z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