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B32B" w14:textId="174825A0" w:rsidR="008E0908" w:rsidRPr="00436E1A" w:rsidRDefault="008E0908" w:rsidP="008E090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6E1A">
        <w:rPr>
          <w:rFonts w:ascii="Arial" w:hAnsi="Arial" w:cs="Arial"/>
          <w:b/>
          <w:sz w:val="24"/>
          <w:szCs w:val="24"/>
        </w:rPr>
        <w:t xml:space="preserve">Obec </w:t>
      </w:r>
      <w:r w:rsidR="00436E1A" w:rsidRPr="00436E1A">
        <w:rPr>
          <w:rFonts w:ascii="Arial" w:hAnsi="Arial" w:cs="Arial"/>
          <w:b/>
          <w:sz w:val="24"/>
          <w:szCs w:val="24"/>
        </w:rPr>
        <w:t>Střelice</w:t>
      </w:r>
    </w:p>
    <w:p w14:paraId="3D50347D" w14:textId="655A920B" w:rsidR="008E0908" w:rsidRPr="00436E1A" w:rsidRDefault="008E0908" w:rsidP="008E090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6E1A">
        <w:rPr>
          <w:rFonts w:ascii="Arial" w:hAnsi="Arial" w:cs="Arial"/>
          <w:b/>
          <w:sz w:val="24"/>
          <w:szCs w:val="24"/>
        </w:rPr>
        <w:t xml:space="preserve">Zastupitelstvo obce </w:t>
      </w:r>
      <w:r w:rsidR="00436E1A" w:rsidRPr="00436E1A">
        <w:rPr>
          <w:rFonts w:ascii="Arial" w:hAnsi="Arial" w:cs="Arial"/>
          <w:b/>
          <w:sz w:val="24"/>
          <w:szCs w:val="24"/>
        </w:rPr>
        <w:t>Střelice</w:t>
      </w:r>
    </w:p>
    <w:p w14:paraId="48FA7E45" w14:textId="77777777" w:rsidR="008E0908" w:rsidRPr="00436E1A" w:rsidRDefault="008E0908" w:rsidP="008E090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CCAF542" w14:textId="3BDCAB75" w:rsidR="008E0908" w:rsidRPr="00436E1A" w:rsidRDefault="008E0908" w:rsidP="008E090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6E1A">
        <w:rPr>
          <w:rFonts w:ascii="Arial" w:hAnsi="Arial" w:cs="Arial"/>
          <w:b/>
          <w:sz w:val="24"/>
          <w:szCs w:val="24"/>
        </w:rPr>
        <w:t>Obecně závazná vyhláška obce Střelice</w:t>
      </w:r>
    </w:p>
    <w:p w14:paraId="212FB6CD" w14:textId="77777777" w:rsidR="008E0908" w:rsidRPr="00436E1A" w:rsidRDefault="008E0908" w:rsidP="008E090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6E1A">
        <w:rPr>
          <w:rFonts w:ascii="Arial" w:hAnsi="Arial" w:cs="Arial"/>
          <w:b/>
          <w:sz w:val="24"/>
          <w:szCs w:val="24"/>
        </w:rPr>
        <w:t xml:space="preserve">o zákazu odpalování pyrotechnických výrobků a jejich užívání k provádění ohňostrojných prací nebo ohňostrojů </w:t>
      </w:r>
    </w:p>
    <w:p w14:paraId="3E849770" w14:textId="77777777" w:rsidR="008E0908" w:rsidRPr="00436E1A" w:rsidRDefault="008E0908" w:rsidP="008E0908">
      <w:pPr>
        <w:spacing w:line="276" w:lineRule="auto"/>
        <w:jc w:val="center"/>
        <w:rPr>
          <w:rFonts w:ascii="Arial" w:hAnsi="Arial" w:cs="Arial"/>
        </w:rPr>
      </w:pPr>
    </w:p>
    <w:p w14:paraId="7FB269AB" w14:textId="5204A373" w:rsidR="008E0908" w:rsidRPr="00436E1A" w:rsidRDefault="008E0908" w:rsidP="008E0908">
      <w:pPr>
        <w:spacing w:line="276" w:lineRule="auto"/>
        <w:rPr>
          <w:rFonts w:ascii="Arial" w:hAnsi="Arial" w:cs="Arial"/>
        </w:rPr>
      </w:pPr>
      <w:r w:rsidRPr="00436E1A">
        <w:rPr>
          <w:rFonts w:ascii="Arial" w:hAnsi="Arial" w:cs="Arial"/>
        </w:rPr>
        <w:t>Zastupitelstvo obce Střelice se na svém zasedání dne 16. 12. 2025 usneslo vydat na základě § 35c odst. 1 písm. b) a § 35c odst. 2 zákona č. 206/2015 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7A8CB7FC" w14:textId="77777777" w:rsidR="008E0908" w:rsidRPr="00436E1A" w:rsidRDefault="008E0908" w:rsidP="008E0908">
      <w:pPr>
        <w:spacing w:line="276" w:lineRule="auto"/>
        <w:rPr>
          <w:rFonts w:ascii="Arial" w:hAnsi="Arial" w:cs="Arial"/>
        </w:rPr>
      </w:pPr>
    </w:p>
    <w:p w14:paraId="037B29EC" w14:textId="77777777" w:rsidR="008E0908" w:rsidRPr="00436E1A" w:rsidRDefault="008E0908" w:rsidP="008E090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36E1A">
        <w:rPr>
          <w:rFonts w:ascii="Arial" w:hAnsi="Arial" w:cs="Arial"/>
          <w:b/>
          <w:szCs w:val="24"/>
        </w:rPr>
        <w:t>Čl. 1</w:t>
      </w:r>
    </w:p>
    <w:p w14:paraId="27040174" w14:textId="77777777" w:rsidR="008E0908" w:rsidRPr="00436E1A" w:rsidRDefault="008E0908" w:rsidP="008E090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36E1A">
        <w:rPr>
          <w:rFonts w:ascii="Arial" w:hAnsi="Arial" w:cs="Arial"/>
          <w:b/>
          <w:szCs w:val="24"/>
        </w:rPr>
        <w:t>Zákaz zacházení s pyrotechnickými výrobky</w:t>
      </w:r>
    </w:p>
    <w:p w14:paraId="7B506D70" w14:textId="77777777" w:rsidR="00436E1A" w:rsidRPr="00436E1A" w:rsidRDefault="008E0908" w:rsidP="008E0908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eastAsia="Calibri" w:hAnsi="Arial" w:cs="Arial"/>
          <w:i/>
        </w:rPr>
      </w:pPr>
      <w:r w:rsidRPr="00436E1A">
        <w:rPr>
          <w:rFonts w:ascii="Arial" w:hAnsi="Arial" w:cs="Arial"/>
        </w:rPr>
        <w:t xml:space="preserve">Obec </w:t>
      </w:r>
      <w:r w:rsidR="00436E1A" w:rsidRPr="00436E1A">
        <w:rPr>
          <w:rFonts w:ascii="Arial" w:hAnsi="Arial" w:cs="Arial"/>
        </w:rPr>
        <w:t xml:space="preserve">Střelice </w:t>
      </w:r>
      <w:r w:rsidRPr="00436E1A">
        <w:rPr>
          <w:rFonts w:ascii="Arial" w:hAnsi="Arial" w:cs="Arial"/>
        </w:rPr>
        <w:t>stanovuje zákaz zacházení s pyrotechnickými výrobky, pokud jde o jejich odpalování, a dále jejich užívání k provádění ohňostrojných prací nebo ohňostrojů na těchto místech</w:t>
      </w:r>
    </w:p>
    <w:p w14:paraId="669E3C22" w14:textId="5EA1AC00" w:rsidR="008E0908" w:rsidRPr="00436E1A" w:rsidRDefault="008E0908" w:rsidP="00436E1A">
      <w:pPr>
        <w:pStyle w:val="Odstavecseseznamem"/>
        <w:keepNext/>
        <w:tabs>
          <w:tab w:val="left" w:pos="1134"/>
        </w:tabs>
        <w:spacing w:line="276" w:lineRule="auto"/>
        <w:ind w:left="709"/>
        <w:rPr>
          <w:rFonts w:ascii="Arial" w:eastAsia="Calibri" w:hAnsi="Arial" w:cs="Arial"/>
          <w:i/>
        </w:rPr>
      </w:pPr>
      <w:r w:rsidRPr="00436E1A">
        <w:rPr>
          <w:rFonts w:ascii="Arial" w:hAnsi="Arial" w:cs="Arial"/>
        </w:rPr>
        <w:t xml:space="preserve"> </w:t>
      </w:r>
    </w:p>
    <w:p w14:paraId="5F75C0F6" w14:textId="27A6FBF2" w:rsidR="00436E1A" w:rsidRPr="00436E1A" w:rsidRDefault="008E0908" w:rsidP="00436E1A">
      <w:pPr>
        <w:pStyle w:val="Odstavecseseznamem"/>
        <w:keepNext/>
        <w:tabs>
          <w:tab w:val="left" w:pos="1134"/>
        </w:tabs>
        <w:spacing w:line="276" w:lineRule="auto"/>
        <w:ind w:left="709" w:hanging="425"/>
        <w:rPr>
          <w:rFonts w:ascii="Arial" w:eastAsia="Calibri" w:hAnsi="Arial" w:cs="Arial"/>
          <w:iCs/>
        </w:rPr>
      </w:pPr>
      <w:r w:rsidRPr="00436E1A">
        <w:rPr>
          <w:rFonts w:ascii="Arial" w:eastAsia="Calibri" w:hAnsi="Arial" w:cs="Arial"/>
          <w:iCs/>
        </w:rPr>
        <w:t>a)</w:t>
      </w:r>
      <w:r w:rsidRPr="00436E1A">
        <w:rPr>
          <w:rFonts w:ascii="Arial" w:eastAsia="Calibri" w:hAnsi="Arial" w:cs="Arial"/>
          <w:iCs/>
        </w:rPr>
        <w:tab/>
      </w:r>
      <w:r w:rsidR="00436E1A" w:rsidRPr="00436E1A">
        <w:rPr>
          <w:rFonts w:ascii="Arial" w:eastAsia="Calibri" w:hAnsi="Arial" w:cs="Arial"/>
          <w:iCs/>
        </w:rPr>
        <w:t>do 250 m od domu s pečovatelskou službou na adrese Ant. Smutného 754/87, 664 47 Střelice</w:t>
      </w:r>
    </w:p>
    <w:p w14:paraId="62735739" w14:textId="77777777" w:rsidR="00436E1A" w:rsidRPr="00436E1A" w:rsidRDefault="00436E1A" w:rsidP="00436E1A">
      <w:pPr>
        <w:pStyle w:val="Odstavecseseznamem"/>
        <w:keepNext/>
        <w:tabs>
          <w:tab w:val="left" w:pos="1134"/>
        </w:tabs>
        <w:spacing w:line="276" w:lineRule="auto"/>
        <w:ind w:left="709" w:hanging="425"/>
        <w:rPr>
          <w:i/>
          <w:iCs/>
          <w:sz w:val="20"/>
          <w:szCs w:val="20"/>
        </w:rPr>
      </w:pPr>
    </w:p>
    <w:p w14:paraId="621EC6E8" w14:textId="77777777" w:rsidR="008E0908" w:rsidRPr="00436E1A" w:rsidRDefault="008E0908" w:rsidP="008E090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36E1A">
        <w:rPr>
          <w:rFonts w:ascii="Arial" w:hAnsi="Arial" w:cs="Arial"/>
        </w:rPr>
        <w:t xml:space="preserve">Zákaz podle odstavce 1 neplatí pro pyrotechnické výrobky kategorie F1 a pyrotechnické výrobky kategorie F4 a T2, které se užívají k provedení ohňostrojné práce, jejíž provedení se povoluje podle § 33 zákona o pyrotechnice. </w:t>
      </w:r>
    </w:p>
    <w:p w14:paraId="51C1A90B" w14:textId="77777777" w:rsidR="008E0908" w:rsidRDefault="008E0908" w:rsidP="008E090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36E1A">
        <w:rPr>
          <w:rFonts w:ascii="Arial" w:hAnsi="Arial" w:cs="Arial"/>
        </w:rPr>
        <w:t>K zákazu podle odstavce 1, který je stanoven pro místa, kde platí již podle § 35b zákona o pyrotechnice, se v příslušném rozsahu nepřihlíží.</w:t>
      </w:r>
      <w:r w:rsidRPr="00436E1A">
        <w:rPr>
          <w:rStyle w:val="Znakapoznpodarou"/>
          <w:rFonts w:ascii="Arial" w:hAnsi="Arial" w:cs="Arial"/>
        </w:rPr>
        <w:footnoteReference w:id="1"/>
      </w:r>
    </w:p>
    <w:p w14:paraId="5A537FC8" w14:textId="77777777" w:rsidR="00E22C53" w:rsidRPr="00E22C53" w:rsidRDefault="00E22C53" w:rsidP="00E22C5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B33686F" w14:textId="2AA1A5E4" w:rsidR="008E0908" w:rsidRPr="00436E1A" w:rsidRDefault="008E0908" w:rsidP="008E0908">
      <w:pPr>
        <w:spacing w:before="360" w:line="276" w:lineRule="auto"/>
        <w:jc w:val="center"/>
        <w:rPr>
          <w:rFonts w:ascii="Arial" w:hAnsi="Arial" w:cs="Arial"/>
          <w:b/>
        </w:rPr>
      </w:pPr>
      <w:r w:rsidRPr="00436E1A">
        <w:rPr>
          <w:rFonts w:ascii="Arial" w:hAnsi="Arial" w:cs="Arial"/>
          <w:b/>
        </w:rPr>
        <w:t xml:space="preserve">Čl. </w:t>
      </w:r>
      <w:r w:rsidR="00436E1A" w:rsidRPr="00436E1A">
        <w:rPr>
          <w:rFonts w:ascii="Arial" w:hAnsi="Arial" w:cs="Arial"/>
          <w:b/>
        </w:rPr>
        <w:t>2</w:t>
      </w:r>
    </w:p>
    <w:p w14:paraId="0E3A3D7F" w14:textId="77777777" w:rsidR="008E0908" w:rsidRPr="00436E1A" w:rsidRDefault="008E0908" w:rsidP="008E0908">
      <w:pPr>
        <w:spacing w:line="276" w:lineRule="auto"/>
        <w:jc w:val="center"/>
        <w:rPr>
          <w:rFonts w:ascii="Arial" w:hAnsi="Arial" w:cs="Arial"/>
          <w:b/>
        </w:rPr>
      </w:pPr>
      <w:r w:rsidRPr="00436E1A">
        <w:rPr>
          <w:rFonts w:ascii="Arial" w:hAnsi="Arial" w:cs="Arial"/>
          <w:b/>
        </w:rPr>
        <w:t>Účinnost</w:t>
      </w:r>
    </w:p>
    <w:p w14:paraId="5CC24394" w14:textId="77777777" w:rsidR="008E0908" w:rsidRPr="00436E1A" w:rsidRDefault="008E0908" w:rsidP="008E0908">
      <w:pPr>
        <w:keepNext/>
        <w:spacing w:line="276" w:lineRule="auto"/>
        <w:ind w:firstLine="708"/>
        <w:rPr>
          <w:rFonts w:ascii="Arial" w:eastAsia="Calibri" w:hAnsi="Arial" w:cs="Arial"/>
        </w:rPr>
      </w:pPr>
      <w:r w:rsidRPr="00436E1A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77CC933F" w14:textId="77777777" w:rsidR="00436E1A" w:rsidRPr="00436E1A" w:rsidRDefault="00436E1A" w:rsidP="008E0908">
      <w:pPr>
        <w:spacing w:after="360" w:line="276" w:lineRule="auto"/>
        <w:ind w:firstLine="709"/>
        <w:rPr>
          <w:rFonts w:ascii="Arial" w:hAnsi="Arial" w:cs="Arial"/>
        </w:rPr>
      </w:pPr>
    </w:p>
    <w:p w14:paraId="0DBEC9B0" w14:textId="11C1022C" w:rsidR="00436E1A" w:rsidRPr="00436E1A" w:rsidRDefault="008E0908" w:rsidP="00436E1A">
      <w:pPr>
        <w:keepNext/>
        <w:spacing w:line="276" w:lineRule="auto"/>
        <w:jc w:val="left"/>
        <w:rPr>
          <w:rFonts w:ascii="Arial" w:hAnsi="Arial" w:cs="Arial"/>
        </w:rPr>
      </w:pPr>
      <w:r w:rsidRPr="00436E1A">
        <w:rPr>
          <w:rFonts w:ascii="Arial" w:hAnsi="Arial" w:cs="Arial"/>
        </w:rPr>
        <w:t>………………………………</w:t>
      </w:r>
      <w:r w:rsidR="00436E1A" w:rsidRPr="00436E1A">
        <w:rPr>
          <w:rFonts w:ascii="Arial" w:hAnsi="Arial" w:cs="Arial"/>
        </w:rPr>
        <w:t xml:space="preserve"> </w:t>
      </w:r>
      <w:r w:rsidR="00436E1A" w:rsidRPr="00436E1A">
        <w:rPr>
          <w:rFonts w:ascii="Arial" w:hAnsi="Arial" w:cs="Arial"/>
        </w:rPr>
        <w:tab/>
      </w:r>
      <w:r w:rsidR="00436E1A" w:rsidRPr="00436E1A">
        <w:rPr>
          <w:rFonts w:ascii="Arial" w:hAnsi="Arial" w:cs="Arial"/>
        </w:rPr>
        <w:tab/>
      </w:r>
      <w:r w:rsidR="00436E1A" w:rsidRPr="00436E1A">
        <w:rPr>
          <w:rFonts w:ascii="Arial" w:hAnsi="Arial" w:cs="Arial"/>
        </w:rPr>
        <w:tab/>
      </w:r>
      <w:r w:rsidR="00436E1A" w:rsidRPr="00436E1A">
        <w:rPr>
          <w:rFonts w:ascii="Arial" w:hAnsi="Arial" w:cs="Arial"/>
        </w:rPr>
        <w:tab/>
      </w:r>
      <w:r w:rsidR="00436E1A" w:rsidRPr="00436E1A">
        <w:rPr>
          <w:rFonts w:ascii="Arial" w:hAnsi="Arial" w:cs="Arial"/>
        </w:rPr>
        <w:tab/>
      </w:r>
      <w:r w:rsidR="00436E1A" w:rsidRPr="00436E1A">
        <w:rPr>
          <w:rFonts w:ascii="Arial" w:hAnsi="Arial" w:cs="Arial"/>
        </w:rPr>
        <w:tab/>
        <w:t>………………………………</w:t>
      </w:r>
    </w:p>
    <w:p w14:paraId="2C3AC714" w14:textId="129FF793" w:rsidR="008E0908" w:rsidRPr="00436E1A" w:rsidRDefault="00436E1A" w:rsidP="00436E1A">
      <w:pPr>
        <w:keepNext/>
        <w:spacing w:line="276" w:lineRule="auto"/>
        <w:jc w:val="left"/>
        <w:rPr>
          <w:rFonts w:ascii="Arial" w:hAnsi="Arial" w:cs="Arial"/>
        </w:rPr>
      </w:pPr>
      <w:r w:rsidRPr="00436E1A">
        <w:rPr>
          <w:rFonts w:ascii="Arial" w:hAnsi="Arial" w:cs="Arial"/>
        </w:rPr>
        <w:t>Jiří Vašulín</w:t>
      </w:r>
      <w:r w:rsidRPr="00436E1A">
        <w:rPr>
          <w:rFonts w:ascii="Arial" w:hAnsi="Arial" w:cs="Arial"/>
        </w:rPr>
        <w:tab/>
      </w:r>
      <w:r w:rsidRPr="00436E1A">
        <w:rPr>
          <w:rFonts w:ascii="Arial" w:hAnsi="Arial" w:cs="Arial"/>
        </w:rPr>
        <w:tab/>
      </w:r>
      <w:r w:rsidRPr="00436E1A">
        <w:rPr>
          <w:rFonts w:ascii="Arial" w:hAnsi="Arial" w:cs="Arial"/>
        </w:rPr>
        <w:tab/>
      </w:r>
      <w:r w:rsidRPr="00436E1A">
        <w:rPr>
          <w:rFonts w:ascii="Arial" w:hAnsi="Arial" w:cs="Arial"/>
        </w:rPr>
        <w:tab/>
      </w:r>
      <w:r w:rsidRPr="00436E1A">
        <w:rPr>
          <w:rFonts w:ascii="Arial" w:hAnsi="Arial" w:cs="Arial"/>
        </w:rPr>
        <w:tab/>
      </w:r>
      <w:r w:rsidRPr="00436E1A">
        <w:rPr>
          <w:rFonts w:ascii="Arial" w:hAnsi="Arial" w:cs="Arial"/>
        </w:rPr>
        <w:tab/>
      </w:r>
      <w:r w:rsidRPr="00436E1A">
        <w:rPr>
          <w:rFonts w:ascii="Arial" w:hAnsi="Arial" w:cs="Arial"/>
        </w:rPr>
        <w:tab/>
      </w:r>
      <w:r w:rsidRPr="00436E1A">
        <w:rPr>
          <w:rFonts w:ascii="Arial" w:hAnsi="Arial" w:cs="Arial"/>
        </w:rPr>
        <w:tab/>
        <w:t>Josef Tichý</w:t>
      </w:r>
    </w:p>
    <w:p w14:paraId="4B5864EB" w14:textId="58DDA87E" w:rsidR="008E0908" w:rsidRPr="00436E1A" w:rsidRDefault="00770A05" w:rsidP="00436E1A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E0908" w:rsidRPr="00436E1A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v.r.</w:t>
      </w:r>
      <w:r w:rsidR="00436E1A" w:rsidRPr="00436E1A">
        <w:rPr>
          <w:rFonts w:ascii="Arial" w:hAnsi="Arial" w:cs="Arial"/>
        </w:rPr>
        <w:tab/>
      </w:r>
      <w:r w:rsidR="00436E1A" w:rsidRPr="00436E1A">
        <w:rPr>
          <w:rFonts w:ascii="Arial" w:hAnsi="Arial" w:cs="Arial"/>
        </w:rPr>
        <w:tab/>
      </w:r>
      <w:r w:rsidR="00436E1A" w:rsidRPr="00436E1A">
        <w:rPr>
          <w:rFonts w:ascii="Arial" w:hAnsi="Arial" w:cs="Arial"/>
        </w:rPr>
        <w:tab/>
      </w:r>
      <w:r w:rsidR="00436E1A" w:rsidRPr="00436E1A">
        <w:rPr>
          <w:rFonts w:ascii="Arial" w:hAnsi="Arial" w:cs="Arial"/>
        </w:rPr>
        <w:tab/>
      </w:r>
      <w:r w:rsidR="00436E1A" w:rsidRPr="00436E1A">
        <w:rPr>
          <w:rFonts w:ascii="Arial" w:hAnsi="Arial" w:cs="Arial"/>
        </w:rPr>
        <w:tab/>
      </w:r>
      <w:r w:rsidR="00436E1A" w:rsidRPr="00436E1A">
        <w:rPr>
          <w:rFonts w:ascii="Arial" w:hAnsi="Arial" w:cs="Arial"/>
        </w:rPr>
        <w:tab/>
      </w:r>
      <w:r w:rsidR="00436E1A" w:rsidRPr="00436E1A">
        <w:rPr>
          <w:rFonts w:ascii="Arial" w:hAnsi="Arial" w:cs="Arial"/>
        </w:rPr>
        <w:tab/>
      </w:r>
      <w:r w:rsidR="00436E1A" w:rsidRPr="00436E1A">
        <w:rPr>
          <w:rFonts w:ascii="Arial" w:hAnsi="Arial" w:cs="Arial"/>
        </w:rPr>
        <w:tab/>
        <w:t>místostarosta</w:t>
      </w:r>
      <w:r>
        <w:rPr>
          <w:rFonts w:ascii="Arial" w:hAnsi="Arial" w:cs="Arial"/>
        </w:rPr>
        <w:t xml:space="preserve"> v.r.</w:t>
      </w:r>
    </w:p>
    <w:sectPr w:rsidR="008E0908" w:rsidRPr="00436E1A" w:rsidSect="00436E1A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07F7" w14:textId="77777777" w:rsidR="001427F4" w:rsidRDefault="001427F4" w:rsidP="008E0908">
      <w:pPr>
        <w:spacing w:after="0"/>
      </w:pPr>
      <w:r>
        <w:separator/>
      </w:r>
    </w:p>
  </w:endnote>
  <w:endnote w:type="continuationSeparator" w:id="0">
    <w:p w14:paraId="57603845" w14:textId="77777777" w:rsidR="001427F4" w:rsidRDefault="001427F4" w:rsidP="008E0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798841028"/>
      <w:docPartObj>
        <w:docPartGallery w:val="Page Numbers (Bottom of Page)"/>
        <w:docPartUnique/>
      </w:docPartObj>
    </w:sdtPr>
    <w:sdtEndPr/>
    <w:sdtContent>
      <w:p w14:paraId="5A4703AF" w14:textId="77777777" w:rsidR="008E0908" w:rsidRPr="00456B24" w:rsidRDefault="008E090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1654456" w14:textId="77777777" w:rsidR="008E0908" w:rsidRDefault="008E09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24C6" w14:textId="77777777" w:rsidR="001427F4" w:rsidRDefault="001427F4" w:rsidP="008E0908">
      <w:pPr>
        <w:spacing w:after="0"/>
      </w:pPr>
      <w:r>
        <w:separator/>
      </w:r>
    </w:p>
  </w:footnote>
  <w:footnote w:type="continuationSeparator" w:id="0">
    <w:p w14:paraId="347E7327" w14:textId="77777777" w:rsidR="001427F4" w:rsidRDefault="001427F4" w:rsidP="008E0908">
      <w:pPr>
        <w:spacing w:after="0"/>
      </w:pPr>
      <w:r>
        <w:continuationSeparator/>
      </w:r>
    </w:p>
  </w:footnote>
  <w:footnote w:id="1">
    <w:p w14:paraId="072CBC78" w14:textId="77777777" w:rsidR="008E0908" w:rsidRDefault="008E0908" w:rsidP="008E0908">
      <w:pPr>
        <w:pStyle w:val="Textpoznpodarou"/>
      </w:pPr>
      <w:r>
        <w:rPr>
          <w:rStyle w:val="Znakapoznpodarou"/>
        </w:rPr>
        <w:footnoteRef/>
      </w:r>
      <w:r>
        <w:t xml:space="preserve"> § 35c odst. 4 zákona o pyrotechnice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66E"/>
    <w:multiLevelType w:val="hybridMultilevel"/>
    <w:tmpl w:val="4B06BDD0"/>
    <w:lvl w:ilvl="0" w:tplc="07E433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A61E7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9E711E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20981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8797">
    <w:abstractNumId w:val="2"/>
  </w:num>
  <w:num w:numId="2" w16cid:durableId="1546868005">
    <w:abstractNumId w:val="0"/>
  </w:num>
  <w:num w:numId="3" w16cid:durableId="1360275834">
    <w:abstractNumId w:val="3"/>
  </w:num>
  <w:num w:numId="4" w16cid:durableId="100416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08"/>
    <w:rsid w:val="001427F4"/>
    <w:rsid w:val="00426BE7"/>
    <w:rsid w:val="00436E1A"/>
    <w:rsid w:val="00454233"/>
    <w:rsid w:val="00585E3F"/>
    <w:rsid w:val="006E4D01"/>
    <w:rsid w:val="00770A05"/>
    <w:rsid w:val="008E0908"/>
    <w:rsid w:val="00AD013D"/>
    <w:rsid w:val="00E22C53"/>
    <w:rsid w:val="00F5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94AA"/>
  <w15:chartTrackingRefBased/>
  <w15:docId w15:val="{8DA05A01-7015-4646-8158-C0BD2226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908"/>
    <w:pPr>
      <w:spacing w:after="120" w:line="240" w:lineRule="auto"/>
      <w:jc w:val="both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E0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0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0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0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0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0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0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0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0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0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09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09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09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09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09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09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090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09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0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09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0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09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09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09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0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09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0908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090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0908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E090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8E090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E0908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customStyle="1" w:styleId="Odstavec">
    <w:name w:val="Odstavec"/>
    <w:basedOn w:val="Normln"/>
    <w:rsid w:val="008E0908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David Dvořák</dc:creator>
  <cp:keywords/>
  <dc:description/>
  <cp:lastModifiedBy>Josef Tichý</cp:lastModifiedBy>
  <cp:revision>4</cp:revision>
  <dcterms:created xsi:type="dcterms:W3CDTF">2025-12-09T09:43:00Z</dcterms:created>
  <dcterms:modified xsi:type="dcterms:W3CDTF">2025-12-16T20:37:00Z</dcterms:modified>
</cp:coreProperties>
</file>