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Město Libáň</w:t>
        <w:br/>
        <w:t>Zastupitelstvo města Libáň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města Libáň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města Libáň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Město Libáň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městský úřad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 užívání veřejného prostranství, kterým se rozumí náměstí Svobody a chodníky v ulicích Lindnerova, Emlerova, Jiráskova, T. G. Masaryka, Komenského, Sportovní, Tyršova, B. Němcové, Na Ženichově, Dukelská, Školní, Smutná, Jičínská, Českých Bratří, Míru, Na Sídlišti, Nad Hřištěm, Pod Vinicí, Na Tržišti a na náměstí Svobody. Dále parky a veřejná zeleň parcelních čísel 1465/1, 109/1, 132/1, 161, 157/1, 162/3, 1669, 40/1, 677, 1479/5, 1466/1, 1472, 255/3, 255/36, 255/15, 255/5, 255/19, 252, 247/2, 246/6 a 1492, graficky vyznačené na mapě v příloze č. 1. Tato příloha tvoří nedílnou součást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Style w:val="Znakapozn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sloužících pro poskytování prodeje 50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reklamních zařízení 50 Kč,</w:t>
      </w:r>
    </w:p>
    <w:p>
      <w:pPr>
        <w:pStyle w:val="Odstavec"/>
        <w:numPr>
          <w:ilvl w:val="1"/>
          <w:numId w:val="7"/>
        </w:numPr>
        <w:rPr/>
      </w:pPr>
      <w:r>
        <w:rPr/>
        <w:t>za provádění výkopových prací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stavebních zařízení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skládek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lunaparků a jiných obdobných atrakcí 20 Kč,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 potřeby tvorby filmových a televizních děl 10 Kč.</w:t>
      </w:r>
    </w:p>
    <w:p>
      <w:pPr>
        <w:pStyle w:val="Odstavec"/>
        <w:numPr>
          <w:ilvl w:val="0"/>
          <w:numId w:val="7"/>
        </w:numPr>
        <w:rPr/>
      </w:pPr>
      <w:r>
        <w:rPr/>
        <w:t>Sazba poplatku stanovená měsíčním paušálem činí za každý i započatý m2 a každý měsíc: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/>
      </w:pPr>
      <w:r>
        <w:rPr/>
        <w:t>a) za umístění zařízení sloužícího pro poskytování prodeje při době užívání nad 1 měsíc……………………………………………………………………………. 300,- Kč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/>
      </w:pPr>
      <w:r>
        <w:rPr/>
        <w:t>b) za umístění zařízení sloužícího pro poskytování služeb (např. předzahrádky restaurací) ……………………………………………………………………….  60,- Kč</w:t>
      </w:r>
    </w:p>
    <w:p>
      <w:pPr>
        <w:pStyle w:val="Odstavec"/>
        <w:numPr>
          <w:ilvl w:val="0"/>
          <w:numId w:val="7"/>
        </w:numPr>
        <w:rPr/>
      </w:pPr>
      <w:r>
        <w:rPr/>
        <w:t>Sazba poplatku stanovená ročním paušálem činí za každý i započatý m2 a každý rok: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/>
      </w:pPr>
      <w:r>
        <w:rPr/>
        <w:t>za umístění reklamního zařízení ……………………………..……………. 1 300,- Kč.</w:t>
      </w:r>
    </w:p>
    <w:p>
      <w:pPr>
        <w:pStyle w:val="Odstavec"/>
        <w:numPr>
          <w:ilvl w:val="0"/>
          <w:numId w:val="7"/>
        </w:numPr>
        <w:rPr/>
      </w:pPr>
      <w:r>
        <w:rPr/>
        <w:t>Volbu placení poplatku paušální částkou včetně výběru varianty paušální částky sdělí poplatník správci poplatku v rámci ohlášení dle čl. 4 odst. 2.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v den ukončení užívání veřejného prostranství.</w:t>
      </w:r>
    </w:p>
    <w:p>
      <w:pPr>
        <w:pStyle w:val="Odstavec"/>
        <w:numPr>
          <w:ilvl w:val="0"/>
          <w:numId w:val="9"/>
        </w:numPr>
        <w:rPr/>
      </w:pPr>
      <w:r>
        <w:rPr/>
        <w:t>Poplatek stanovený paušální částkou je splatný do 15 dnů od počátku každého poplatkového období.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11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11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11"/>
        </w:numPr>
        <w:rPr/>
      </w:pPr>
      <w:r>
        <w:rPr/>
        <w:t>Od poplatku se dále osvobozují:</w:t>
      </w:r>
    </w:p>
    <w:p>
      <w:pPr>
        <w:pStyle w:val="Odstavec"/>
        <w:numPr>
          <w:ilvl w:val="1"/>
          <w:numId w:val="11"/>
        </w:numPr>
        <w:rPr/>
      </w:pPr>
      <w:r>
        <w:rPr/>
        <w:t>za první 3 dny užívání veř. prostranství k provádění výkopových prací,</w:t>
      </w:r>
    </w:p>
    <w:p>
      <w:pPr>
        <w:pStyle w:val="Odstavec"/>
        <w:numPr>
          <w:ilvl w:val="1"/>
          <w:numId w:val="11"/>
        </w:numPr>
        <w:rPr/>
      </w:pPr>
      <w:r>
        <w:rPr/>
        <w:t>za první 3 dny užívání veř. prostranství za účelem umístění stavebního zařízení,</w:t>
      </w:r>
    </w:p>
    <w:p>
      <w:pPr>
        <w:pStyle w:val="Odstavec"/>
        <w:numPr>
          <w:ilvl w:val="1"/>
          <w:numId w:val="11"/>
        </w:numPr>
        <w:rPr/>
      </w:pPr>
      <w:r>
        <w:rPr/>
        <w:t>za první 3 dny užívání veř. prostranství k umístění skládek.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2/2019, o místním poplatku za užívání veřejného prostranství, ze dne 27. listopadu 2019.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Petr Soukup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Vladimíra Klárová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Znakypropoznmkupodarou1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LibreOffice/7.3.0.3$Windows_X86_64 LibreOffice_project/0f246aa12d0eee4a0f7adcefbf7c878fc2238db3</Application>
  <AppVersion>15.0000</AppVersion>
  <Pages>3</Pages>
  <Words>707</Words>
  <Characters>4177</Characters>
  <CharactersWithSpaces>4875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2023-11-09T13:17:00Z</dcterms:created>
  <dc:creator>Vodrážková Radka, Mgr. Bc.</dc:creator>
  <dc:description/>
  <dc:language>cs-CZ</dc:language>
  <cp:lastModifiedBy>Jana Valnohová</cp:lastModifiedBy>
  <dcterms:modified xsi:type="dcterms:W3CDTF">2023-11-10T11:20:00Z</dcterms:modified>
  <cp:revision>7</cp:revision>
  <dc:subject/>
  <dc:title/>
</cp:coreProperties>
</file>