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/>
      </w:pPr>
      <w:r>
        <w:rPr/>
        <w:t>Obec Hranice</w:t>
        <w:br/>
        <w:t>Zastupitelstvo obce Hranice</w:t>
      </w:r>
    </w:p>
    <w:p>
      <w:pPr>
        <w:pStyle w:val="Heading1"/>
        <w:rPr/>
      </w:pPr>
      <w:r>
        <w:rPr/>
        <w:t>Obecně závazná vyhláška obce Hranice</w:t>
        <w:br/>
        <w:t>o místním poplatku za obecní systém odpadového hospodářství</w:t>
      </w:r>
    </w:p>
    <w:p>
      <w:pPr>
        <w:pStyle w:val="UvodniVeta"/>
        <w:rPr/>
      </w:pPr>
      <w:r>
        <w:rPr/>
        <w:t xml:space="preserve">Zastupitelstvo obce Hranice se na svém zasedání dne </w:t>
      </w:r>
      <w:r>
        <w:rPr/>
        <w:t>22</w:t>
      </w:r>
      <w:r>
        <w:rPr/>
        <w:t>. prosince 202</w:t>
      </w:r>
      <w:bookmarkStart w:id="0" w:name="_GoBack"/>
      <w:bookmarkEnd w:id="0"/>
      <w:r>
        <w:rPr/>
        <w:t>5</w:t>
      </w:r>
      <w:r>
        <w:rPr/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Hranice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Poplatkovým obdobím poplatku je kalendářní rok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Heading2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9"/>
        </w:numPr>
        <w:rPr/>
      </w:pPr>
      <w:r>
        <w:rPr/>
        <w:t>Poplatníkem poplatku je</w:t>
      </w:r>
      <w:r>
        <w:rPr>
          <w:rStyle w:val="FootnoteReference"/>
        </w:rPr>
        <w:footnoteReference w:id="4"/>
      </w:r>
    </w:p>
    <w:p>
      <w:pPr>
        <w:pStyle w:val="Odstavec"/>
        <w:numPr>
          <w:ilvl w:val="1"/>
          <w:numId w:val="1"/>
        </w:numPr>
        <w:rPr/>
      </w:pPr>
      <w:r>
        <w:rPr/>
        <w:t>fyzická osoba přihlášená v obci</w:t>
      </w:r>
      <w:r>
        <w:rPr>
          <w:rStyle w:val="FootnoteReference"/>
        </w:rPr>
        <w:footnoteReference w:id="5"/>
      </w:r>
    </w:p>
    <w:p>
      <w:pPr>
        <w:pStyle w:val="Odstavec"/>
        <w:numPr>
          <w:ilvl w:val="1"/>
          <w:numId w:val="1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1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Heading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10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Heading2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11"/>
        </w:numPr>
        <w:rPr/>
      </w:pPr>
      <w:r>
        <w:rPr/>
        <w:t xml:space="preserve">Sazba poplatku za kalendářní rok činí </w:t>
      </w:r>
      <w:r>
        <w:rPr/>
        <w:t>650</w:t>
      </w:r>
      <w:r>
        <w:rPr/>
        <w:t> Kč.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1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1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1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1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1"/>
        </w:numPr>
        <w:rPr/>
      </w:pPr>
      <w:r>
        <w:rPr/>
        <w:t>nebo je poplatník od poplatku osvobozen.</w:t>
      </w:r>
    </w:p>
    <w:p>
      <w:pPr>
        <w:pStyle w:val="Heading2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2"/>
        </w:numPr>
        <w:rPr/>
      </w:pPr>
      <w:r>
        <w:rPr/>
        <w:t>Poplatek je splatný nejpozději do 30. dubna příslušného kalendářního roku.</w:t>
      </w:r>
    </w:p>
    <w:p>
      <w:pPr>
        <w:pStyle w:val="Odstavec"/>
        <w:numPr>
          <w:ilvl w:val="0"/>
          <w:numId w:val="1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1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Heading2"/>
        <w:rPr/>
      </w:pPr>
      <w:r>
        <w:rPr/>
        <w:t>Čl. 6</w:t>
        <w:br/>
        <w:t xml:space="preserve"> Osvobození a úlevy</w:t>
      </w:r>
    </w:p>
    <w:p>
      <w:pPr>
        <w:pStyle w:val="Odstavec"/>
        <w:numPr>
          <w:ilvl w:val="0"/>
          <w:numId w:val="13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FootnoteReference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"/>
        </w:numPr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1"/>
        </w:numPr>
        <w:rPr/>
      </w:pPr>
      <w:r>
        <w:rPr/>
        <w:t>bydlí déle jak 1 rok v zahraničí,</w:t>
      </w:r>
    </w:p>
    <w:p>
      <w:pPr>
        <w:pStyle w:val="Odstavec"/>
        <w:numPr>
          <w:ilvl w:val="1"/>
          <w:numId w:val="1"/>
        </w:numPr>
        <w:rPr/>
      </w:pPr>
      <w:r>
        <w:rPr/>
        <w:t>osoba trvale přihlášená na ohlašovně Obecního úřadu Hranice a prokazatelně se na území obce nezdržuje.</w:t>
      </w:r>
    </w:p>
    <w:p>
      <w:pPr>
        <w:pStyle w:val="Odstavec"/>
        <w:numPr>
          <w:ilvl w:val="0"/>
          <w:numId w:val="1"/>
        </w:numPr>
        <w:rPr/>
      </w:pPr>
      <w:r>
        <w:rPr/>
        <w:t xml:space="preserve">Úleva se poskytuje osobě, které poplatková povinnost vznikla z důvodu přihlášení v obci a která bydlí v částech obce, kde se neprovádí svoz komunálního odpadu z důvodu nepřístupnosti svozové techniky, ve výši </w:t>
      </w:r>
      <w:r>
        <w:rPr/>
        <w:t>400</w:t>
      </w:r>
      <w:r>
        <w:rPr/>
        <w:t xml:space="preserve"> Kč.</w:t>
      </w:r>
    </w:p>
    <w:p>
      <w:pPr>
        <w:pStyle w:val="Odstavec"/>
        <w:numPr>
          <w:ilvl w:val="0"/>
          <w:numId w:val="1"/>
        </w:numPr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FootnoteReference"/>
        </w:rPr>
        <w:footnoteReference w:id="10"/>
      </w:r>
      <w:r>
        <w:rPr/>
        <w:t>.</w:t>
      </w:r>
    </w:p>
    <w:p>
      <w:pPr>
        <w:pStyle w:val="Heading2"/>
        <w:rPr>
          <w:rFonts w:ascii="Arial" w:hAnsi="Arial" w:cs="Arial"/>
          <w:iCs/>
        </w:rPr>
      </w:pPr>
      <w:r>
        <w:rPr/>
        <w:t>Čl. 7</w:t>
        <w:br/>
        <w:t>Nakládání s komunálním odpadem vznikajícím na území obce při činnosti právnických a podnikajících fyzických osob</w:t>
      </w:r>
    </w:p>
    <w:p>
      <w:pPr>
        <w:pStyle w:val="Textbody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Právnické a podnikající fyzické osoby zapojené do obecního systému za základě smlouvy s obcí komunální odpad předávají prostřednictvím  typizované sběrné nádoby.</w:t>
      </w:r>
    </w:p>
    <w:p>
      <w:pPr>
        <w:pStyle w:val="Textbody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Výše úhrady za zapojení do obecního systému se stanoví dle platného ceníku zveřejněným na webových stránkách obce.</w:t>
      </w:r>
    </w:p>
    <w:p>
      <w:pPr>
        <w:pStyle w:val="Textbody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Úhrada se vybírá jednorázově a to v hotovosti, převodem na účet.</w:t>
      </w:r>
    </w:p>
    <w:p>
      <w:pPr>
        <w:pStyle w:val="Heading2"/>
        <w:rPr/>
      </w:pPr>
      <w:r>
        <w:rPr/>
        <w:t>Čl. 8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/>
      </w:pPr>
      <w:r>
        <w:rPr/>
        <w:t xml:space="preserve">Zrušuje se Obecně závazná vyhláška obce Hranice. o místním poplatku za obecní systém odpadového hospodářství ze dne </w:t>
      </w:r>
      <w:r>
        <w:rPr/>
        <w:t>16.</w:t>
      </w:r>
      <w:r>
        <w:rPr/>
        <w:t xml:space="preserve"> </w:t>
      </w:r>
      <w:r>
        <w:rPr/>
        <w:t>prosince</w:t>
      </w:r>
      <w:r>
        <w:rPr/>
        <w:t xml:space="preserve"> 202</w:t>
      </w:r>
      <w:r>
        <w:rPr/>
        <w:t>4</w:t>
      </w:r>
    </w:p>
    <w:p>
      <w:pPr>
        <w:pStyle w:val="Heading2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ledna 202</w:t>
      </w:r>
      <w:r>
        <w:rPr/>
        <w:t>6</w:t>
      </w:r>
      <w:r>
        <w:rPr/>
        <w:t>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200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  <w:t>Dalibor Matušek v. r.</w:t>
              <w:br/>
              <w:t xml:space="preserve"> starostka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  <w:t>Hana Trsková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Segoe UI">
    <w:charset w:val="ee"/>
    <w:family w:val="swiss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10o odst. 1 zákona o místních poplatcích</w:t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>§ 15 odst. 1 zákona o místních poplatcích</w:t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10e zákona o místních poplatcích</w:t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10p zákona o místních poplatcích</w:t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>§ 14a odst. 4 zákona o místních poplatcích</w:t>
      </w:r>
    </w:p>
  </w:footnote>
  <w:footnote w:id="9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10g zákona o místních poplatcích</w:t>
      </w:r>
    </w:p>
  </w:footnote>
  <w:footnote w:id="10">
    <w:p>
      <w:pPr>
        <w:pStyle w:val="Footnote"/>
        <w:rPr/>
      </w:pPr>
      <w:r>
        <w:rPr>
          <w:rStyle w:val="Znakypropoznmkupodarou"/>
        </w:rPr>
        <w:footnoteRef/>
      </w:r>
      <w:r>
        <w:rPr/>
        <w:t>§ 14a odst. 6 zákona o místních poplatcích</w:t>
      </w:r>
    </w:p>
    <w:p>
      <w:pPr>
        <w:pStyle w:val="Footnote"/>
        <w:rPr/>
      </w:pPr>
      <w:r>
        <w:rPr/>
      </w:r>
    </w:p>
    <w:p>
      <w:pPr>
        <w:pStyle w:val="Footnote"/>
        <w:rPr/>
      </w:pPr>
      <w:r>
        <w:rPr/>
      </w:r>
    </w:p>
    <w:p>
      <w:pPr>
        <w:pStyle w:val="Footnote"/>
        <w:rPr/>
      </w:pPr>
      <w:r>
        <w:rPr/>
      </w:r>
    </w:p>
    <w:p>
      <w:pPr>
        <w:pStyle w:val="Footnote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FootnoteSymbol" w:customStyle="1">
    <w:name w:val="Footnote Symbol"/>
    <w:qFormat/>
    <w:rPr/>
  </w:style>
  <w:style w:type="character" w:styleId="FootnoteReference" w:customStyle="1">
    <w:name w:val="footnote reference"/>
    <w:rPr>
      <w:vertAlign w:val="superscript"/>
    </w:rPr>
  </w:style>
  <w:style w:type="character" w:styleId="Znakypropoznmkupodarou">
    <w:name w:val="Znaky pro poznámku pod čarou"/>
    <w:basedOn w:val="DefaultParagraphFont"/>
    <w:qFormat/>
    <w:rPr>
      <w:vertAlign w:val="superscript"/>
    </w:rPr>
  </w:style>
  <w:style w:type="character" w:styleId="TextbublinyChar" w:customStyle="1">
    <w:name w:val="Text bubliny Char"/>
    <w:basedOn w:val="DefaultParagraphFont"/>
    <w:qFormat/>
    <w:rPr>
      <w:rFonts w:ascii="Segoe UI" w:hAnsi="Segoe UI" w:cs="Mangal"/>
      <w:sz w:val="18"/>
      <w:szCs w:val="16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Title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hanging="170" w:left="170"/>
    </w:pPr>
    <w:rPr>
      <w:rFonts w:ascii="Arial" w:hAnsi="Arial" w:eastAsia="Arial" w:cs="Arial"/>
      <w:sz w:val="18"/>
      <w:szCs w:val="18"/>
    </w:rPr>
  </w:style>
  <w:style w:type="paragraph" w:styleId="BalloonText">
    <w:name w:val="Balloon Text"/>
    <w:basedOn w:val="Normal"/>
    <w:qFormat/>
    <w:pPr/>
    <w:rPr>
      <w:rFonts w:ascii="Segoe UI" w:hAnsi="Segoe UI" w:cs="Mangal"/>
      <w:sz w:val="18"/>
      <w:szCs w:val="16"/>
    </w:rPr>
  </w:style>
  <w:style w:type="paragraph" w:styleId="FootnoteText">
    <w:name w:val="footnote text"/>
    <w:basedOn w:val="Normal"/>
    <w:pPr/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LibreOffice/25.2.7.2$Windows_X86_64 LibreOffice_project/5cbfd1ab6520636bb5f7b99185aa69bd7456825d</Application>
  <AppVersion>15.0000</AppVersion>
  <Pages>4</Pages>
  <Words>970</Words>
  <Characters>5308</Characters>
  <CharactersWithSpaces>6186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2025-01-06T14:14:00Z</dcterms:created>
  <dc:creator>Uživatel</dc:creator>
  <dc:description/>
  <dc:language>cs-CZ</dc:language>
  <cp:lastModifiedBy/>
  <cp:lastPrinted>2026-01-18T13:45:01Z</cp:lastPrinted>
  <dcterms:modified xsi:type="dcterms:W3CDTF">2026-01-18T13:44:25Z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