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EE7" w:rsidRDefault="00BA0EE7">
      <w:pPr>
        <w:pStyle w:val="Nadpis2"/>
        <w:spacing w:after="120"/>
        <w:ind w:left="180"/>
        <w:jc w:val="center"/>
        <w:rPr>
          <w:rFonts w:ascii="Arial" w:eastAsia="Arial" w:hAnsi="Arial" w:cs="Arial"/>
          <w:i w:val="0"/>
          <w:iCs w:val="0"/>
        </w:rPr>
      </w:pPr>
    </w:p>
    <w:p w:rsidR="00BA0EE7" w:rsidRDefault="005912AC">
      <w:pPr>
        <w:pStyle w:val="Nadpis2"/>
        <w:spacing w:after="120"/>
        <w:ind w:left="180"/>
        <w:jc w:val="center"/>
        <w:rPr>
          <w:rFonts w:ascii="Arial" w:eastAsia="Arial" w:hAnsi="Arial" w:cs="Arial"/>
          <w:i w:val="0"/>
          <w:iCs w:val="0"/>
        </w:rPr>
      </w:pPr>
      <w:r>
        <w:rPr>
          <w:rFonts w:ascii="Arial" w:eastAsia="Arial" w:hAnsi="Arial" w:cs="Arial"/>
          <w:i w:val="0"/>
          <w:iCs w:val="0"/>
        </w:rPr>
        <w:t>MĚSTO ORLOVÁ</w:t>
      </w:r>
    </w:p>
    <w:p w:rsidR="00BA0EE7" w:rsidRDefault="005912AC">
      <w:pPr>
        <w:pStyle w:val="Nadpis2"/>
        <w:spacing w:after="120"/>
        <w:ind w:left="180"/>
        <w:jc w:val="center"/>
        <w:rPr>
          <w:rFonts w:ascii="Arial" w:eastAsia="Arial" w:hAnsi="Arial" w:cs="Arial"/>
          <w:i w:val="0"/>
          <w:iCs w:val="0"/>
        </w:rPr>
      </w:pPr>
      <w:r>
        <w:rPr>
          <w:rFonts w:ascii="Arial" w:eastAsia="Arial" w:hAnsi="Arial" w:cs="Arial"/>
          <w:i w:val="0"/>
          <w:iCs w:val="0"/>
        </w:rPr>
        <w:t>Obecně závazná vyhláška města Orlová č. 3/2019</w:t>
      </w:r>
    </w:p>
    <w:p w:rsidR="00BA0EE7" w:rsidRDefault="005912AC">
      <w:pPr>
        <w:ind w:left="180"/>
        <w:jc w:val="center"/>
        <w:rPr>
          <w:b/>
          <w:bCs/>
        </w:rPr>
      </w:pPr>
      <w:r>
        <w:rPr>
          <w:b/>
          <w:bCs/>
        </w:rPr>
        <w:t>kterou se stanovují pravidla pro pohyb psů na veřejném prostranství ve městě Orlová a vymezují prostory pro volné pobíhání psů</w:t>
      </w:r>
    </w:p>
    <w:p w:rsidR="00BA0EE7" w:rsidRDefault="00BA0EE7">
      <w:pPr>
        <w:ind w:left="180"/>
        <w:rPr>
          <w:b/>
          <w:bCs/>
        </w:rPr>
      </w:pPr>
    </w:p>
    <w:p w:rsidR="00BA0EE7" w:rsidRDefault="005912AC">
      <w:r>
        <w:t xml:space="preserve">Zastupitelstvo města Orlové se usneslo dne 16. 9. </w:t>
      </w:r>
      <w:r>
        <w:t>2019 usnesením č. 154/7 vydat na základě ust. § 24 odst. 2 zákona č. 246/1992 Sb., na ochranu zvířat proti týrání, ve znění pozdějších předpisů, a v souladu s ust. § 10 písm. d), § 35 a § 84 odst. 2 písm. h) a zákona č. 128/2000 Sb., o obcích (obecní zříze</w:t>
      </w:r>
      <w:r>
        <w:t>ní), ve znění pozdějších předpisů, tuto obecně závaznou vyhlášku:</w:t>
      </w:r>
    </w:p>
    <w:p w:rsidR="00BA0EE7" w:rsidRDefault="00BA0EE7"/>
    <w:p w:rsidR="00BA0EE7" w:rsidRDefault="005912AC">
      <w:pPr>
        <w:pStyle w:val="Odstavec"/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1</w:t>
      </w: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Pravidla pro pohyb psů na veřejném prostranství</w:t>
      </w:r>
    </w:p>
    <w:p w:rsidR="00BA0EE7" w:rsidRDefault="005912AC">
      <w:pPr>
        <w:pStyle w:val="Odstavec"/>
        <w:numPr>
          <w:ilvl w:val="0"/>
          <w:numId w:val="2"/>
        </w:numPr>
        <w:spacing w:after="120" w:line="240" w:lineRule="auto"/>
        <w:ind w:left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>
        <w:rPr>
          <w:rFonts w:ascii="Arial" w:eastAsia="Arial" w:hAnsi="Arial" w:cs="Arial"/>
          <w:sz w:val="22"/>
          <w:szCs w:val="22"/>
        </w:rPr>
        <w:t xml:space="preserve"> ve městě:</w:t>
      </w:r>
    </w:p>
    <w:p w:rsidR="00BA0EE7" w:rsidRDefault="005912AC">
      <w:pPr>
        <w:pStyle w:val="Odstavec"/>
        <w:numPr>
          <w:ilvl w:val="0"/>
          <w:numId w:val="3"/>
        </w:numPr>
        <w:spacing w:after="12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veřejných prostranstvích ve městě je možný pohyb</w:t>
      </w:r>
      <w:r>
        <w:rPr>
          <w:rFonts w:ascii="Arial" w:eastAsia="Arial" w:hAnsi="Arial" w:cs="Arial"/>
          <w:sz w:val="22"/>
          <w:szCs w:val="22"/>
        </w:rPr>
        <w:t xml:space="preserve"> psů pouze na vodítku</w:t>
      </w:r>
      <w:r>
        <w:rPr>
          <w:rFonts w:ascii="Arial" w:eastAsia="Arial" w:hAnsi="Arial" w:cs="Arial"/>
          <w:b/>
          <w:bCs/>
          <w:sz w:val="22"/>
          <w:szCs w:val="22"/>
        </w:rPr>
        <w:t>,</w:t>
      </w:r>
    </w:p>
    <w:p w:rsidR="00BA0EE7" w:rsidRDefault="005912AC">
      <w:pPr>
        <w:pStyle w:val="Odstavec"/>
        <w:numPr>
          <w:ilvl w:val="0"/>
          <w:numId w:val="3"/>
        </w:numPr>
        <w:spacing w:after="12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pískoviště, dětská hřiště a sportoviště, označená v terénu piktogramem uvedeným v příloze č. 1, se zakazuje vstup se psy.</w:t>
      </w:r>
    </w:p>
    <w:p w:rsidR="00BA0EE7" w:rsidRDefault="005912AC">
      <w:pPr>
        <w:pStyle w:val="Odstavec"/>
        <w:numPr>
          <w:ilvl w:val="0"/>
          <w:numId w:val="2"/>
        </w:numPr>
        <w:spacing w:after="120" w:line="240" w:lineRule="auto"/>
        <w:ind w:left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Splnění povinností stanovených v odst. 1 zajišťuje fyzická osoba, která má psa na veřejném prostranství pod </w:t>
      </w:r>
      <w:r>
        <w:rPr>
          <w:rFonts w:ascii="Arial" w:eastAsia="Arial" w:hAnsi="Arial" w:cs="Arial"/>
          <w:sz w:val="22"/>
          <w:szCs w:val="22"/>
        </w:rPr>
        <w:t>kontrolou či dohledem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sz w:val="22"/>
          <w:szCs w:val="22"/>
        </w:rPr>
        <w:t>.</w:t>
      </w:r>
    </w:p>
    <w:p w:rsidR="00BA0EE7" w:rsidRDefault="00BA0EE7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5912AC">
      <w:pPr>
        <w:pStyle w:val="Odstavec"/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2</w:t>
      </w: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Vymezení prostor pro volné pobíhání psů</w:t>
      </w:r>
    </w:p>
    <w:p w:rsidR="00BA0EE7" w:rsidRDefault="005912AC">
      <w:pPr>
        <w:pStyle w:val="Odstavec"/>
        <w:numPr>
          <w:ilvl w:val="0"/>
          <w:numId w:val="1"/>
        </w:numPr>
        <w:tabs>
          <w:tab w:val="left" w:pos="426"/>
        </w:tabs>
        <w:spacing w:after="120" w:line="240" w:lineRule="auto"/>
        <w:ind w:left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volné pobíhání psů se vymezuje následující prostor vyznačený v příloze č. 2 této obecně závazné vyhlášky:</w:t>
      </w:r>
    </w:p>
    <w:p w:rsidR="00BA0EE7" w:rsidRDefault="005912AC">
      <w:pPr>
        <w:pStyle w:val="Odstavec"/>
        <w:numPr>
          <w:ilvl w:val="0"/>
          <w:numId w:val="4"/>
        </w:numPr>
        <w:spacing w:after="120" w:line="240" w:lineRule="auto"/>
        <w:ind w:left="709" w:hanging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ul. F. S. Tůmy, za OD Billa – parcela č. 4213/573 v </w:t>
      </w:r>
      <w:r>
        <w:rPr>
          <w:rFonts w:ascii="Arial" w:eastAsia="Arial" w:hAnsi="Arial" w:cs="Arial"/>
          <w:sz w:val="22"/>
          <w:szCs w:val="22"/>
        </w:rPr>
        <w:t>katastrálním území Horní Lutyně,</w:t>
      </w:r>
    </w:p>
    <w:p w:rsidR="00BA0EE7" w:rsidRDefault="005912AC">
      <w:pPr>
        <w:pStyle w:val="Odstavec"/>
        <w:numPr>
          <w:ilvl w:val="0"/>
          <w:numId w:val="4"/>
        </w:numPr>
        <w:spacing w:after="120" w:line="240" w:lineRule="auto"/>
        <w:ind w:left="709" w:hanging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ul. Kpt. Jaroše, u DPS Vesna – parcela č. 37/7 v katastrálním území Horní Lutyně, </w:t>
      </w:r>
    </w:p>
    <w:p w:rsidR="00BA0EE7" w:rsidRDefault="005912AC">
      <w:pPr>
        <w:pStyle w:val="Odstavec"/>
        <w:numPr>
          <w:ilvl w:val="0"/>
          <w:numId w:val="4"/>
        </w:numPr>
        <w:spacing w:after="120" w:line="240" w:lineRule="auto"/>
        <w:ind w:left="709" w:hanging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křižovatka ul. Zátiší a Slezská, naproti ČS Shell – parcela č. 3592/1 v katastrálním území Horní Lutyně,</w:t>
      </w:r>
    </w:p>
    <w:p w:rsidR="00BA0EE7" w:rsidRDefault="005912AC">
      <w:pPr>
        <w:pStyle w:val="Odstavec"/>
        <w:numPr>
          <w:ilvl w:val="0"/>
          <w:numId w:val="4"/>
        </w:numPr>
        <w:spacing w:after="120" w:line="240" w:lineRule="auto"/>
        <w:ind w:left="709" w:hanging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lesoparku – parcela č. 435 v kata</w:t>
      </w:r>
      <w:r>
        <w:rPr>
          <w:rFonts w:ascii="Arial" w:eastAsia="Arial" w:hAnsi="Arial" w:cs="Arial"/>
          <w:sz w:val="22"/>
          <w:szCs w:val="22"/>
        </w:rPr>
        <w:t>strálním území Horní Lutyně.</w:t>
      </w:r>
    </w:p>
    <w:p w:rsidR="00BA0EE7" w:rsidRDefault="005912AC">
      <w:pPr>
        <w:pStyle w:val="Odstavec"/>
        <w:numPr>
          <w:ilvl w:val="0"/>
          <w:numId w:val="1"/>
        </w:numPr>
        <w:tabs>
          <w:tab w:val="left" w:pos="426"/>
        </w:tabs>
        <w:spacing w:after="120" w:line="240" w:lineRule="auto"/>
        <w:ind w:left="425" w:hanging="35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Volné pobíhání psů v prostorech uvedených v odst. 1 je možné pouze pod neustálým dohledem a přímým vlivem osoby doprovázející psa.</w:t>
      </w:r>
    </w:p>
    <w:p w:rsidR="00BA0EE7" w:rsidRDefault="00BA0EE7">
      <w:pPr>
        <w:pStyle w:val="Odstavec"/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BA0EE7" w:rsidRDefault="005912AC">
      <w:pPr>
        <w:pStyle w:val="Odstavec"/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3</w:t>
      </w: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Zrušovací ustanovení</w:t>
      </w:r>
    </w:p>
    <w:p w:rsidR="00BA0EE7" w:rsidRDefault="005912AC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Touto obecně závaznou vyhláškou se ruší obecně závazná vyhláška města Orlová č. 6/2016 Pravidla pro pohyb psů na veřejných prostranstvích, ze dne 25. 3. 2016.</w:t>
      </w:r>
    </w:p>
    <w:p w:rsidR="00BA0EE7" w:rsidRDefault="00BA0EE7">
      <w:pPr>
        <w:pStyle w:val="Odstavec"/>
        <w:spacing w:after="120" w:line="240" w:lineRule="auto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spacing w:after="120" w:line="240" w:lineRule="auto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spacing w:after="120" w:line="240" w:lineRule="auto"/>
        <w:rPr>
          <w:rFonts w:ascii="Arial" w:eastAsia="Arial" w:hAnsi="Arial" w:cs="Arial"/>
          <w:sz w:val="22"/>
          <w:szCs w:val="22"/>
        </w:rPr>
      </w:pPr>
    </w:p>
    <w:p w:rsidR="00BA0EE7" w:rsidRDefault="005912AC">
      <w:pPr>
        <w:pStyle w:val="Odstavec"/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4</w:t>
      </w: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Účinnost</w:t>
      </w:r>
    </w:p>
    <w:p w:rsidR="00BA0EE7" w:rsidRDefault="005912AC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obecně závazná vyhláška nabývá účinnosti 15. dnem po dni jejího vyhlášení.</w:t>
      </w:r>
    </w:p>
    <w:p w:rsidR="00BA0EE7" w:rsidRDefault="00BA0EE7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D11F28" w:rsidRDefault="00D11F28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BA0EE7" w:rsidRDefault="00BA0EE7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5912AC">
      <w:pPr>
        <w:pStyle w:val="Odstavec"/>
        <w:tabs>
          <w:tab w:val="center" w:pos="1418"/>
          <w:tab w:val="center" w:pos="7371"/>
        </w:tabs>
        <w:spacing w:after="0" w:line="240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Bc. Naděžda Kubalová</w:t>
      </w:r>
      <w:r>
        <w:rPr>
          <w:rFonts w:ascii="Arial" w:eastAsia="Arial" w:hAnsi="Arial" w:cs="Arial"/>
          <w:sz w:val="22"/>
          <w:szCs w:val="22"/>
        </w:rPr>
        <w:tab/>
        <w:t>Mgr. Miroslav Chlubna</w:t>
      </w:r>
    </w:p>
    <w:p w:rsidR="00BA0EE7" w:rsidRDefault="005912AC">
      <w:pPr>
        <w:pStyle w:val="Odstavec"/>
        <w:tabs>
          <w:tab w:val="center" w:pos="1418"/>
          <w:tab w:val="center" w:pos="7371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místostarostka</w:t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:rsidR="00BA0EE7" w:rsidRDefault="00BA0EE7">
      <w:pPr>
        <w:pStyle w:val="Odstavec"/>
        <w:tabs>
          <w:tab w:val="center" w:pos="1560"/>
          <w:tab w:val="center" w:pos="7088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tabs>
          <w:tab w:val="center" w:pos="7230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tabs>
          <w:tab w:val="center" w:pos="7230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tabs>
          <w:tab w:val="center" w:pos="7230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tabs>
          <w:tab w:val="center" w:pos="7230"/>
        </w:tabs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Zkladntext"/>
        <w:spacing w:after="12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Zkladntext"/>
        <w:spacing w:after="12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Zkladntext"/>
        <w:spacing w:after="12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Zkladntext"/>
        <w:spacing w:after="12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:rsidR="00BA0EE7" w:rsidRDefault="005912AC">
      <w:pPr>
        <w:pStyle w:val="Zkladntext"/>
        <w:spacing w:after="120" w:line="24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k obecně závazné vyhlášce města Orlové č. 3/2019, kterou se stanovují pravidla pro pohyb psů na veřejném prostranství ve městě Orlová</w:t>
      </w:r>
    </w:p>
    <w:p w:rsidR="00BA0EE7" w:rsidRDefault="005912AC">
      <w:pPr>
        <w:pStyle w:val="Nadpis1"/>
        <w:numPr>
          <w:ilvl w:val="0"/>
          <w:numId w:val="6"/>
        </w:numPr>
        <w:spacing w:before="0" w:after="120"/>
        <w:rPr>
          <w:b w:val="0"/>
          <w:bCs w:val="0"/>
          <w:caps w:val="0"/>
          <w:sz w:val="22"/>
          <w:szCs w:val="22"/>
        </w:rPr>
      </w:pPr>
      <w:bookmarkStart w:id="1" w:name="_Ref433196187"/>
      <w:r>
        <w:rPr>
          <w:b w:val="0"/>
          <w:bCs w:val="0"/>
          <w:caps w:val="0"/>
          <w:sz w:val="22"/>
          <w:szCs w:val="22"/>
        </w:rPr>
        <w:t>Piktogram Zákaz vstupu psů</w:t>
      </w:r>
    </w:p>
    <w:p w:rsidR="00BA0EE7" w:rsidRDefault="005912AC">
      <w:pPr>
        <w:pStyle w:val="Nadpis1"/>
        <w:numPr>
          <w:ilvl w:val="0"/>
          <w:numId w:val="6"/>
        </w:numPr>
        <w:spacing w:before="0" w:after="120"/>
        <w:rPr>
          <w:b w:val="0"/>
          <w:bCs w:val="0"/>
          <w:caps w:val="0"/>
          <w:sz w:val="22"/>
          <w:szCs w:val="22"/>
        </w:rPr>
      </w:pPr>
      <w:r>
        <w:rPr>
          <w:b w:val="0"/>
          <w:bCs w:val="0"/>
          <w:caps w:val="0"/>
          <w:sz w:val="22"/>
          <w:szCs w:val="22"/>
        </w:rPr>
        <w:t>Vymezení prostor pro volné pobíhání psů</w:t>
      </w:r>
    </w:p>
    <w:p w:rsidR="00BA0EE7" w:rsidRDefault="005912AC">
      <w:pPr>
        <w:pStyle w:val="Nadpis1"/>
        <w:jc w:val="center"/>
        <w:rPr>
          <w:caps w:val="0"/>
        </w:rPr>
      </w:pPr>
      <w:r>
        <w:br w:type="page" w:clear="all"/>
      </w:r>
      <w:r>
        <w:rPr>
          <w:caps w:val="0"/>
        </w:rPr>
        <w:lastRenderedPageBreak/>
        <w:t>Příloha č. 1</w:t>
      </w:r>
      <w:bookmarkEnd w:id="1"/>
    </w:p>
    <w:p w:rsidR="00BA0EE7" w:rsidRDefault="005912AC">
      <w:pPr>
        <w:pStyle w:val="Nadpis2"/>
        <w:spacing w:after="120"/>
        <w:jc w:val="center"/>
        <w:rPr>
          <w:rFonts w:ascii="Arial" w:eastAsia="Arial" w:hAnsi="Arial" w:cs="Arial"/>
          <w:i w:val="0"/>
          <w:iCs w:val="0"/>
          <w:sz w:val="22"/>
          <w:szCs w:val="22"/>
        </w:rPr>
      </w:pPr>
      <w:r>
        <w:rPr>
          <w:rFonts w:ascii="Arial" w:eastAsia="Arial" w:hAnsi="Arial" w:cs="Arial"/>
          <w:i w:val="0"/>
          <w:iCs w:val="0"/>
          <w:sz w:val="22"/>
          <w:szCs w:val="22"/>
        </w:rPr>
        <w:t>Obecně závazné vyhlášky města Orlová č. 3/2019</w:t>
      </w:r>
    </w:p>
    <w:p w:rsidR="00BA0EE7" w:rsidRDefault="005912AC">
      <w:pPr>
        <w:jc w:val="center"/>
        <w:rPr>
          <w:b/>
          <w:bCs/>
        </w:rPr>
      </w:pPr>
      <w:r>
        <w:rPr>
          <w:b/>
          <w:bCs/>
        </w:rPr>
        <w:t>Pravidla pro pohyb psů na veřejném prostranství</w:t>
      </w:r>
    </w:p>
    <w:p w:rsidR="00BA0EE7" w:rsidRDefault="00BA0EE7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BA0EE7" w:rsidRDefault="00BA0EE7">
      <w:pPr>
        <w:pStyle w:val="Odstavec"/>
        <w:spacing w:after="120" w:line="240" w:lineRule="auto"/>
        <w:ind w:firstLine="0"/>
        <w:rPr>
          <w:rFonts w:ascii="Arial" w:eastAsia="Arial" w:hAnsi="Arial" w:cs="Arial"/>
          <w:sz w:val="22"/>
          <w:szCs w:val="22"/>
        </w:rPr>
      </w:pP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Piktogram Zákaz vstupu psů</w:t>
      </w:r>
    </w:p>
    <w:p w:rsidR="00BA0EE7" w:rsidRDefault="00BA0EE7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BA0EE7" w:rsidRDefault="005912AC">
      <w:pPr>
        <w:jc w:val="center"/>
      </w:pPr>
      <w:r>
        <w:object w:dxaOrig="3465" w:dyaOrig="3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173.25pt;mso-wrap-distance-left:0;mso-wrap-distance-top:0;mso-wrap-distance-right:0;mso-wrap-distance-bottom:0" o:ole="">
            <v:imagedata r:id="rId7" o:title=""/>
            <o:lock v:ext="edit" rotation="t"/>
          </v:shape>
          <o:OLEObject Type="Embed" ProgID="Msxml2.SAXXMLReader.6.0" ShapeID="_x0000_i1025" DrawAspect="Content" ObjectID="_1767680711" r:id="rId8"/>
        </w:object>
      </w: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i/>
          <w:iCs/>
          <w:sz w:val="32"/>
          <w:szCs w:val="32"/>
        </w:rPr>
      </w:pPr>
      <w:bookmarkStart w:id="2" w:name="_Ref433196214"/>
      <w:r>
        <w:rPr>
          <w:rFonts w:ascii="Arial" w:eastAsia="Arial" w:hAnsi="Arial" w:cs="Arial"/>
        </w:rPr>
        <w:br w:type="page" w:clear="all"/>
      </w:r>
      <w:bookmarkEnd w:id="2"/>
      <w:r>
        <w:rPr>
          <w:rFonts w:ascii="Arial" w:eastAsia="Arial" w:hAnsi="Arial" w:cs="Arial"/>
          <w:b/>
          <w:bCs/>
          <w:sz w:val="32"/>
          <w:szCs w:val="32"/>
        </w:rPr>
        <w:lastRenderedPageBreak/>
        <w:t>Příloha č. 2</w:t>
      </w:r>
    </w:p>
    <w:p w:rsidR="00BA0EE7" w:rsidRDefault="005912AC">
      <w:pPr>
        <w:pStyle w:val="Nadpis2"/>
        <w:spacing w:after="0"/>
        <w:ind w:left="181"/>
        <w:jc w:val="center"/>
        <w:rPr>
          <w:rFonts w:ascii="Arial" w:eastAsia="Arial" w:hAnsi="Arial" w:cs="Arial"/>
          <w:i w:val="0"/>
          <w:iCs w:val="0"/>
          <w:sz w:val="22"/>
          <w:szCs w:val="22"/>
        </w:rPr>
      </w:pPr>
      <w:r>
        <w:rPr>
          <w:rFonts w:ascii="Arial" w:eastAsia="Arial" w:hAnsi="Arial" w:cs="Arial"/>
          <w:i w:val="0"/>
          <w:iCs w:val="0"/>
          <w:sz w:val="22"/>
          <w:szCs w:val="22"/>
        </w:rPr>
        <w:t>Obecně závazné vyhlášky města Orlové č. 3/2019</w:t>
      </w:r>
    </w:p>
    <w:p w:rsidR="00BA0EE7" w:rsidRDefault="005912AC">
      <w:pPr>
        <w:ind w:left="180"/>
        <w:jc w:val="center"/>
        <w:rPr>
          <w:b/>
          <w:bCs/>
        </w:rPr>
      </w:pPr>
      <w:r>
        <w:rPr>
          <w:b/>
          <w:bCs/>
        </w:rPr>
        <w:t>Pravidla pro pohyb psů na veřejném prostranství</w:t>
      </w:r>
    </w:p>
    <w:p w:rsidR="00BA0EE7" w:rsidRDefault="00BA0EE7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BA0EE7" w:rsidRDefault="005912AC">
      <w:pPr>
        <w:pStyle w:val="Odstavec"/>
        <w:spacing w:after="120" w:line="240" w:lineRule="auto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Vymezení prostor pro volné pobíhání psů</w:t>
      </w:r>
    </w:p>
    <w:p w:rsidR="00BA0EE7" w:rsidRDefault="005912AC">
      <w:r>
        <w:t xml:space="preserve">Grafické zobrazení veřejných prostranství ve městě, na nichž se neuplatňuje regulace dle ust. čl. 1 písm. a) až d) této </w:t>
      </w:r>
      <w:r>
        <w:t>obecně závazné vyhlášky. Předmětné plochy jsou vyznačeny po svém okraji bílým lemováním.</w:t>
      </w:r>
    </w:p>
    <w:p w:rsidR="00BA0EE7" w:rsidRDefault="00BA0EE7">
      <w:pPr>
        <w:pStyle w:val="Zkladntext"/>
        <w:spacing w:after="120" w:line="240" w:lineRule="auto"/>
        <w:jc w:val="both"/>
        <w:rPr>
          <w:rFonts w:ascii="Arial" w:eastAsia="Arial" w:hAnsi="Arial" w:cs="Arial"/>
        </w:rPr>
      </w:pPr>
    </w:p>
    <w:p w:rsidR="00BA0EE7" w:rsidRDefault="005912AC">
      <w:pPr>
        <w:pStyle w:val="Odstavec"/>
        <w:numPr>
          <w:ilvl w:val="0"/>
          <w:numId w:val="5"/>
        </w:numPr>
        <w:spacing w:after="12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Ul. F. S. Tůmy, za OD Billa – parcela č. 4213/573 v katastrálním území Horní Lutyně</w:t>
      </w:r>
    </w:p>
    <w:p w:rsidR="00BA0EE7" w:rsidRDefault="005912AC">
      <w:pPr>
        <w:jc w:val="center"/>
      </w:pPr>
      <w:r>
        <w:rPr>
          <w:noProof/>
          <w:lang w:eastAsia="cs-CZ" w:bidi="ar-SA"/>
        </w:rPr>
        <mc:AlternateContent>
          <mc:Choice Requires="wpg">
            <w:drawing>
              <wp:inline distT="0" distB="0" distL="0" distR="0">
                <wp:extent cx="4267200" cy="3009900"/>
                <wp:effectExtent l="0" t="0" r="0" b="0"/>
                <wp:docPr id="3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426720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36.00pt;height:237.0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</w:p>
    <w:p w:rsidR="00BA0EE7" w:rsidRDefault="00BA0EE7">
      <w:pPr>
        <w:jc w:val="center"/>
      </w:pPr>
    </w:p>
    <w:p w:rsidR="00BA0EE7" w:rsidRDefault="005912AC">
      <w:pPr>
        <w:numPr>
          <w:ilvl w:val="0"/>
          <w:numId w:val="5"/>
        </w:numPr>
        <w:spacing w:after="120"/>
        <w:ind w:left="709" w:hanging="284"/>
        <w:jc w:val="both"/>
      </w:pPr>
      <w:r>
        <w:t xml:space="preserve">Ul. Kpt. Jaroše, u DPS Vesna – parcela č. 37/7 v </w:t>
      </w:r>
      <w:r>
        <w:t>katastrálním území Horní Lutyně</w:t>
      </w:r>
    </w:p>
    <w:p w:rsidR="00BA0EE7" w:rsidRDefault="005912AC">
      <w:pPr>
        <w:jc w:val="center"/>
      </w:pPr>
      <w:r>
        <w:rPr>
          <w:noProof/>
          <w:lang w:eastAsia="cs-CZ" w:bidi="ar-SA"/>
        </w:rPr>
        <mc:AlternateContent>
          <mc:Choice Requires="wpg">
            <w:drawing>
              <wp:inline distT="0" distB="0" distL="0" distR="0">
                <wp:extent cx="4267200" cy="3009900"/>
                <wp:effectExtent l="0" t="0" r="0" b="0"/>
                <wp:docPr id="4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426720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36.00pt;height:237.00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br w:type="page" w:clear="all"/>
      </w:r>
      <w:r>
        <w:lastRenderedPageBreak/>
        <w:t xml:space="preserve"> </w:t>
      </w:r>
    </w:p>
    <w:p w:rsidR="00BA0EE7" w:rsidRDefault="005912AC">
      <w:pPr>
        <w:numPr>
          <w:ilvl w:val="0"/>
          <w:numId w:val="5"/>
        </w:numPr>
        <w:spacing w:after="120"/>
        <w:jc w:val="center"/>
      </w:pPr>
      <w:r>
        <w:t>Křižovatka ul. Zátiší a Slezská, naproti ČS Shell – parcela č. 3592/1 v katastrálním území Horní Lutyně</w:t>
      </w:r>
    </w:p>
    <w:p w:rsidR="00BA0EE7" w:rsidRDefault="005912AC">
      <w:pPr>
        <w:jc w:val="center"/>
      </w:pPr>
      <w:r>
        <w:rPr>
          <w:noProof/>
          <w:lang w:eastAsia="cs-CZ" w:bidi="ar-SA"/>
        </w:rPr>
        <mc:AlternateContent>
          <mc:Choice Requires="wpg">
            <w:drawing>
              <wp:inline distT="0" distB="0" distL="0" distR="0">
                <wp:extent cx="4267200" cy="3000375"/>
                <wp:effectExtent l="0" t="0" r="0" b="0"/>
                <wp:docPr id="5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4267200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336.00pt;height:236.25pt;mso-wrap-distance-left:0.00pt;mso-wrap-distance-top:0.00pt;mso-wrap-distance-right:0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</w:p>
    <w:p w:rsidR="00BA0EE7" w:rsidRDefault="00BA0EE7">
      <w:pPr>
        <w:jc w:val="center"/>
      </w:pPr>
    </w:p>
    <w:p w:rsidR="00BA0EE7" w:rsidRDefault="005912AC">
      <w:pPr>
        <w:numPr>
          <w:ilvl w:val="0"/>
          <w:numId w:val="5"/>
        </w:numPr>
        <w:spacing w:after="120"/>
        <w:jc w:val="both"/>
      </w:pPr>
      <w:r>
        <w:t>V lesoparku – parcela č. 435 v katastrálním území Horní Lutyně</w:t>
      </w:r>
    </w:p>
    <w:p w:rsidR="00BA0EE7" w:rsidRDefault="005912AC">
      <w:pPr>
        <w:jc w:val="center"/>
      </w:pPr>
      <w:r>
        <w:rPr>
          <w:noProof/>
          <w:lang w:eastAsia="cs-CZ" w:bidi="ar-SA"/>
        </w:rPr>
        <mc:AlternateContent>
          <mc:Choice Requires="wpg">
            <w:drawing>
              <wp:inline distT="0" distB="0" distL="0" distR="0">
                <wp:extent cx="4267200" cy="3000375"/>
                <wp:effectExtent l="0" t="0" r="0" b="0"/>
                <wp:docPr id="6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4267200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336.00pt;height:236.25pt;mso-wrap-distance-left:0.00pt;mso-wrap-distance-top:0.00pt;mso-wrap-distance-right:0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</w:p>
    <w:p w:rsidR="00BA0EE7" w:rsidRDefault="00BA0EE7"/>
    <w:p w:rsidR="00BA0EE7" w:rsidRDefault="005912AC">
      <w:pPr>
        <w:pStyle w:val="Nadpis1"/>
        <w:jc w:val="both"/>
      </w:pPr>
      <w:r>
        <w:t xml:space="preserve"> </w:t>
      </w:r>
    </w:p>
    <w:p w:rsidR="00BA0EE7" w:rsidRDefault="00BA0EE7">
      <w:pPr>
        <w:pStyle w:val="Nadpis1"/>
      </w:pPr>
    </w:p>
    <w:p w:rsidR="00BA0EE7" w:rsidRDefault="00BA0EE7">
      <w:pPr>
        <w:spacing w:line="397" w:lineRule="exact"/>
      </w:pPr>
    </w:p>
    <w:sectPr w:rsidR="00BA0EE7">
      <w:footerReference w:type="default" r:id="rId20"/>
      <w:headerReference w:type="first" r:id="rId21"/>
      <w:pgSz w:w="11906" w:h="16838" w:orient="landscape"/>
      <w:pgMar w:top="2127" w:right="1134" w:bottom="1134" w:left="1134" w:header="113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AC" w:rsidRDefault="005912AC">
      <w:r>
        <w:separator/>
      </w:r>
    </w:p>
  </w:endnote>
  <w:endnote w:type="continuationSeparator" w:id="0">
    <w:p w:rsidR="005912AC" w:rsidRDefault="005912AC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EE7" w:rsidRDefault="005912AC">
    <w:pPr>
      <w:pStyle w:val="Zpat"/>
      <w:jc w:val="center"/>
      <w:rPr>
        <w:sz w:val="20"/>
        <w:szCs w:val="20"/>
      </w:rPr>
    </w:pPr>
    <w:r>
      <w:rPr>
        <w:rStyle w:val="slostrnky"/>
        <w:rFonts w:ascii="Arial" w:eastAsia="Arial" w:hAnsi="Arial" w:cs="Arial"/>
        <w:sz w:val="20"/>
        <w:szCs w:val="20"/>
      </w:rPr>
      <w:t xml:space="preserve">strana </w:t>
    </w:r>
    <w:r>
      <w:rPr>
        <w:rStyle w:val="slostrnky"/>
        <w:rFonts w:ascii="Arial" w:eastAsia="Arial" w:hAnsi="Arial" w:cs="Arial"/>
        <w:sz w:val="20"/>
        <w:szCs w:val="20"/>
      </w:rPr>
      <w:fldChar w:fldCharType="begin"/>
    </w:r>
    <w:r>
      <w:rPr>
        <w:rStyle w:val="slostrnky"/>
        <w:rFonts w:ascii="Arial" w:eastAsia="Arial" w:hAnsi="Arial" w:cs="Arial"/>
        <w:sz w:val="20"/>
        <w:szCs w:val="20"/>
      </w:rPr>
      <w:instrText xml:space="preserve"> PAGE </w:instrText>
    </w:r>
    <w:r>
      <w:fldChar w:fldCharType="separate"/>
    </w:r>
    <w:r w:rsidR="00D11F28">
      <w:rPr>
        <w:rStyle w:val="slostrnky"/>
        <w:rFonts w:ascii="Arial" w:eastAsia="Arial" w:hAnsi="Arial" w:cs="Arial"/>
        <w:noProof/>
        <w:sz w:val="20"/>
        <w:szCs w:val="20"/>
      </w:rPr>
      <w:t>5</w:t>
    </w:r>
    <w:r>
      <w:fldChar w:fldCharType="end"/>
    </w:r>
    <w:r>
      <w:rPr>
        <w:rStyle w:val="slostrnky"/>
        <w:rFonts w:ascii="Arial" w:eastAsia="Arial" w:hAnsi="Arial" w:cs="Arial"/>
        <w:sz w:val="20"/>
        <w:szCs w:val="20"/>
      </w:rPr>
      <w:t>/</w:t>
    </w:r>
    <w:r>
      <w:rPr>
        <w:rStyle w:val="slostrnky"/>
        <w:rFonts w:ascii="Arial" w:eastAsia="Arial" w:hAnsi="Arial" w:cs="Arial"/>
        <w:sz w:val="20"/>
        <w:szCs w:val="20"/>
      </w:rPr>
      <w:fldChar w:fldCharType="begin"/>
    </w:r>
    <w:r>
      <w:rPr>
        <w:rStyle w:val="slostrnky"/>
        <w:rFonts w:ascii="Arial" w:eastAsia="Arial" w:hAnsi="Arial" w:cs="Arial"/>
        <w:sz w:val="20"/>
        <w:szCs w:val="20"/>
      </w:rPr>
      <w:instrText xml:space="preserve"> NUMPAGES </w:instrText>
    </w:r>
    <w:r>
      <w:fldChar w:fldCharType="separate"/>
    </w:r>
    <w:r w:rsidR="00D11F28">
      <w:rPr>
        <w:rStyle w:val="slostrnky"/>
        <w:rFonts w:ascii="Arial" w:eastAsia="Arial" w:hAnsi="Arial" w:cs="Arial"/>
        <w:noProof/>
        <w:sz w:val="20"/>
        <w:szCs w:val="20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AC" w:rsidRDefault="005912AC">
      <w:r>
        <w:separator/>
      </w:r>
    </w:p>
  </w:footnote>
  <w:footnote w:type="continuationSeparator" w:id="0">
    <w:p w:rsidR="005912AC" w:rsidRDefault="005912AC">
      <w:r>
        <w:continuationSeparator/>
      </w:r>
    </w:p>
  </w:footnote>
  <w:footnote w:id="1">
    <w:p w:rsidR="00BA0EE7" w:rsidRDefault="005912AC">
      <w:pPr>
        <w:pStyle w:val="Textpoznpodarou"/>
        <w:spacing w:after="0"/>
      </w:pPr>
      <w:r>
        <w:rPr>
          <w:rStyle w:val="Znakapoznpodarou"/>
          <w:rFonts w:ascii="Arial" w:eastAsia="Arial" w:hAnsi="Arial" w:cs="Arial"/>
          <w:sz w:val="22"/>
          <w:szCs w:val="22"/>
        </w:rPr>
        <w:footnoteRef/>
      </w:r>
      <w:r>
        <w:t xml:space="preserve"> </w:t>
      </w:r>
      <w:r>
        <w:rPr>
          <w:sz w:val="20"/>
          <w:szCs w:val="20"/>
        </w:rPr>
        <w:t>§ 34 zákona č. 128/2000 Sb., o obcích (obecní zřízení), ve znění pozdějších předpisů.</w:t>
      </w:r>
    </w:p>
  </w:footnote>
  <w:footnote w:id="2">
    <w:p w:rsidR="00BA0EE7" w:rsidRDefault="005912AC">
      <w:pPr>
        <w:pStyle w:val="Textpoznpodarou"/>
        <w:spacing w:after="0"/>
      </w:pPr>
      <w:r>
        <w:rPr>
          <w:rStyle w:val="Znakapoznpodarou"/>
          <w:rFonts w:ascii="Arial" w:eastAsia="Arial" w:hAnsi="Arial" w:cs="Arial"/>
          <w:sz w:val="22"/>
          <w:szCs w:val="22"/>
        </w:rPr>
        <w:footnoteRef/>
      </w:r>
      <w:r>
        <w:t xml:space="preserve"> </w:t>
      </w:r>
      <w:r>
        <w:rPr>
          <w:sz w:val="20"/>
          <w:szCs w:val="20"/>
        </w:rPr>
        <w:t>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EE7" w:rsidRDefault="005912AC">
    <w:pPr>
      <w:pStyle w:val="Zhlav"/>
      <w:jc w:val="center"/>
      <w:rPr>
        <w:b/>
        <w:bCs/>
        <w:sz w:val="36"/>
        <w:szCs w:val="36"/>
      </w:rPr>
    </w:pPr>
    <w:r>
      <w:rPr>
        <w:noProof/>
        <w:lang w:eastAsia="cs-CZ"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2724150</wp:posOffset>
              </wp:positionH>
              <wp:positionV relativeFrom="paragraph">
                <wp:posOffset>112395</wp:posOffset>
              </wp:positionV>
              <wp:extent cx="666115" cy="78232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666114" cy="782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214.50pt;mso-position-horizontal:absolute;mso-position-vertical-relative:text;margin-top:8.85pt;mso-position-vertical:absolute;width:52.45pt;height:61.6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3271"/>
    <w:multiLevelType w:val="multilevel"/>
    <w:tmpl w:val="BABC78A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lang w:val="cs-CZ" w:bidi="cs-CZ"/>
      </w:rPr>
    </w:lvl>
  </w:abstractNum>
  <w:abstractNum w:abstractNumId="1" w15:restartNumberingAfterBreak="0">
    <w:nsid w:val="263B720E"/>
    <w:multiLevelType w:val="multilevel"/>
    <w:tmpl w:val="AA6C7D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lang w:val="cs-CZ" w:bidi="cs-CZ"/>
      </w:rPr>
    </w:lvl>
  </w:abstractNum>
  <w:abstractNum w:abstractNumId="2" w15:restartNumberingAfterBreak="0">
    <w:nsid w:val="28A45E68"/>
    <w:multiLevelType w:val="multilevel"/>
    <w:tmpl w:val="F72A9482"/>
    <w:lvl w:ilvl="0">
      <w:start w:val="1"/>
      <w:numFmt w:val="lowerLetter"/>
      <w:suff w:val="space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226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2946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666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386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106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5826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546" w:hanging="180"/>
      </w:pPr>
      <w:rPr>
        <w:rFonts w:ascii="Times New Roman" w:eastAsia="Times New Roman" w:hAnsi="Times New Roman" w:cs="Times New Roman"/>
        <w:lang w:val="cs-CZ" w:bidi="cs-CZ"/>
      </w:rPr>
    </w:lvl>
  </w:abstractNum>
  <w:abstractNum w:abstractNumId="3" w15:restartNumberingAfterBreak="0">
    <w:nsid w:val="2BCD7FD7"/>
    <w:multiLevelType w:val="multilevel"/>
    <w:tmpl w:val="6E6CA96C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  <w:lang w:val="cs-CZ" w:bidi="cs-CZ"/>
      </w:rPr>
    </w:lvl>
  </w:abstractNum>
  <w:abstractNum w:abstractNumId="4" w15:restartNumberingAfterBreak="0">
    <w:nsid w:val="47BD4E6B"/>
    <w:multiLevelType w:val="multilevel"/>
    <w:tmpl w:val="547695B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lang w:val="cs-CZ" w:bidi="cs-CZ"/>
      </w:rPr>
    </w:lvl>
  </w:abstractNum>
  <w:abstractNum w:abstractNumId="5" w15:restartNumberingAfterBreak="0">
    <w:nsid w:val="64821386"/>
    <w:multiLevelType w:val="multilevel"/>
    <w:tmpl w:val="855208A6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lang w:val="cs-CZ" w:bidi="cs-CZ"/>
      </w:rPr>
    </w:lvl>
    <w:lvl w:ilvl="1">
      <w:start w:val="1"/>
      <w:numFmt w:val="lowerLetter"/>
      <w:suff w:val="space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lang w:val="cs-CZ" w:bidi="cs-CZ"/>
      </w:rPr>
    </w:lvl>
    <w:lvl w:ilvl="2">
      <w:start w:val="1"/>
      <w:numFmt w:val="lowerRoman"/>
      <w:suff w:val="space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  <w:lang w:val="cs-CZ" w:bidi="cs-CZ"/>
      </w:rPr>
    </w:lvl>
    <w:lvl w:ilvl="3">
      <w:start w:val="1"/>
      <w:numFmt w:val="decimal"/>
      <w:suff w:val="space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  <w:lang w:val="cs-CZ" w:bidi="cs-CZ"/>
      </w:rPr>
    </w:lvl>
    <w:lvl w:ilvl="4">
      <w:start w:val="1"/>
      <w:numFmt w:val="lowerLetter"/>
      <w:suff w:val="space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  <w:lang w:val="cs-CZ" w:bidi="cs-CZ"/>
      </w:rPr>
    </w:lvl>
    <w:lvl w:ilvl="5">
      <w:start w:val="1"/>
      <w:numFmt w:val="lowerRoman"/>
      <w:suff w:val="space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  <w:lang w:val="cs-CZ" w:bidi="cs-CZ"/>
      </w:rPr>
    </w:lvl>
    <w:lvl w:ilvl="6">
      <w:start w:val="1"/>
      <w:numFmt w:val="decimal"/>
      <w:suff w:val="space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  <w:lang w:val="cs-CZ" w:bidi="cs-CZ"/>
      </w:rPr>
    </w:lvl>
    <w:lvl w:ilvl="7">
      <w:start w:val="1"/>
      <w:numFmt w:val="lowerLetter"/>
      <w:suff w:val="space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  <w:lang w:val="cs-CZ" w:bidi="cs-CZ"/>
      </w:rPr>
    </w:lvl>
    <w:lvl w:ilvl="8">
      <w:start w:val="1"/>
      <w:numFmt w:val="lowerRoman"/>
      <w:suff w:val="space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  <w:lang w:val="cs-CZ" w:bidi="cs-CZ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E7"/>
    <w:rsid w:val="005912AC"/>
    <w:rsid w:val="00BA0EE7"/>
    <w:rsid w:val="00D11F28"/>
  </w:rsids>
  <m:mathPr>
    <m:mathFont m:val="Cambria Math"/>
    <m:brkBin m:val="before"/>
    <m:brkBinSub m:val="--"/>
    <m:smallFrac m:val="0"/>
    <m:dispDef m:val="0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88E67-0E10-49E9-B68B-637C0A4F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zh-CN" w:bidi="cs-CZ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Arial" w:eastAsia="Arial" w:hAnsi="Arial" w:cs="Arial"/>
    </w:rPr>
  </w:style>
  <w:style w:type="paragraph" w:styleId="Nadpis1">
    <w:name w:val="heading 1"/>
    <w:basedOn w:val="Normln"/>
    <w:link w:val="Nadpis1Char1"/>
    <w:qFormat/>
    <w:pPr>
      <w:keepNext/>
      <w:spacing w:before="240" w:after="60"/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"/>
    <w:link w:val="Nadpis2Char1"/>
    <w:uiPriority w:val="9"/>
    <w:unhideWhenUsed/>
    <w:qFormat/>
    <w:pPr>
      <w:keepNext/>
      <w:spacing w:before="240" w:after="60"/>
      <w:jc w:val="both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1">
    <w:name w:val="Nadpis 2 Char1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1">
    <w:name w:val="Záhlaví Char1"/>
    <w:basedOn w:val="Standardnpsmoodstavce"/>
    <w:link w:val="Zhlav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1">
    <w:name w:val="Zápatí Char1"/>
    <w:link w:val="Zpat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extpoznpodarouChar1">
    <w:name w:val="Text pozn. pod čarou Char1"/>
    <w:link w:val="Textpoznpodarou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1Char">
    <w:name w:val="Nadpis 1 Char"/>
    <w:basedOn w:val="Standardnpsmoodstavce"/>
    <w:uiPriority w:val="9"/>
    <w:rPr>
      <w:rFonts w:ascii="Calibri Light" w:eastAsia="Calibri Light" w:hAnsi="Calibri Light" w:cs="Calibri Light"/>
      <w:b/>
      <w:bCs/>
      <w:sz w:val="32"/>
      <w:szCs w:val="32"/>
      <w:lang w:val="cs-CZ" w:bidi="cs-CZ"/>
    </w:rPr>
  </w:style>
  <w:style w:type="character" w:customStyle="1" w:styleId="Nadpis2Char">
    <w:name w:val="Nadpis 2 Char"/>
    <w:basedOn w:val="Standardnpsmoodstavce"/>
    <w:uiPriority w:val="9"/>
    <w:rPr>
      <w:rFonts w:ascii="Cambria" w:eastAsia="Cambria" w:hAnsi="Cambria" w:cs="Cambria"/>
      <w:b/>
      <w:bCs/>
      <w:i/>
      <w:iCs/>
      <w:sz w:val="28"/>
      <w:szCs w:val="28"/>
      <w:lang w:val="cs-CZ" w:bidi="cs-CZ"/>
    </w:rPr>
  </w:style>
  <w:style w:type="paragraph" w:styleId="Zhlav">
    <w:name w:val="header"/>
    <w:basedOn w:val="Normln"/>
    <w:link w:val="ZhlavChar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Pr>
      <w:rFonts w:ascii="Arial" w:eastAsia="Arial" w:hAnsi="Arial" w:cs="Arial"/>
      <w:sz w:val="24"/>
      <w:szCs w:val="24"/>
      <w:lang w:val="cs-CZ" w:bidi="cs-CZ"/>
    </w:rPr>
  </w:style>
  <w:style w:type="paragraph" w:styleId="Zpat">
    <w:name w:val="footer"/>
    <w:basedOn w:val="Normln"/>
    <w:link w:val="ZpatChar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semiHidden/>
    <w:rPr>
      <w:rFonts w:ascii="Arial" w:eastAsia="Arial" w:hAnsi="Arial" w:cs="Arial"/>
      <w:sz w:val="24"/>
      <w:szCs w:val="24"/>
      <w:lang w:val="cs-CZ" w:bidi="cs-CZ"/>
    </w:rPr>
  </w:style>
  <w:style w:type="table" w:styleId="Mkatabulky">
    <w:name w:val="Table Grid"/>
    <w:basedOn w:val="Normlntabulka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000000" w:fill="000000"/>
    </w:tblPr>
  </w:style>
  <w:style w:type="character" w:styleId="slostrnky">
    <w:name w:val="page number"/>
    <w:basedOn w:val="Standardnpsmoodstavce"/>
    <w:rPr>
      <w:rFonts w:ascii="Times New Roman" w:eastAsia="Times New Roman" w:hAnsi="Times New Roman" w:cs="Times New Roman"/>
      <w:sz w:val="24"/>
      <w:szCs w:val="24"/>
      <w:lang w:val="cs-CZ" w:bidi="cs-CZ"/>
    </w:rPr>
  </w:style>
  <w:style w:type="character" w:styleId="Hypertextovodkaz">
    <w:name w:val="Hyperlink"/>
    <w:basedOn w:val="Standardnpsmoodstavce"/>
    <w:rPr>
      <w:rFonts w:ascii="Times New Roman" w:eastAsia="Times New Roman" w:hAnsi="Times New Roman" w:cs="Times New Roman"/>
      <w:color w:val="0000FF"/>
      <w:sz w:val="24"/>
      <w:szCs w:val="24"/>
      <w:u w:val="single"/>
      <w:lang w:val="cs-CZ" w:bidi="cs-CZ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Segoe UI" w:eastAsia="Segoe UI" w:hAnsi="Segoe UI" w:cs="Segoe UI"/>
      <w:sz w:val="18"/>
      <w:szCs w:val="18"/>
      <w:lang w:val="cs-CZ" w:bidi="cs-CZ"/>
    </w:rPr>
  </w:style>
  <w:style w:type="paragraph" w:styleId="Textpoznpodarou">
    <w:name w:val="footnote text"/>
    <w:basedOn w:val="Normln"/>
    <w:link w:val="TextpoznpodarouChar1"/>
    <w:semiHidden/>
    <w:unhideWhenUsed/>
    <w:pPr>
      <w:spacing w:after="120"/>
      <w:jc w:val="both"/>
    </w:p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sz w:val="24"/>
      <w:szCs w:val="24"/>
      <w:lang w:val="cs-CZ" w:bidi="cs-CZ"/>
    </w:rPr>
  </w:style>
  <w:style w:type="character" w:styleId="Znakapoznpodarou">
    <w:name w:val="footnote reference"/>
    <w:basedOn w:val="Standardnpsmoodstavce"/>
    <w:semiHidden/>
    <w:unhideWhenUsed/>
    <w:rPr>
      <w:rFonts w:ascii="Times New Roman" w:eastAsia="Times New Roman" w:hAnsi="Times New Roman" w:cs="Times New Roman"/>
      <w:sz w:val="24"/>
      <w:szCs w:val="24"/>
      <w:vertAlign w:val="superscript"/>
      <w:lang w:val="cs-CZ" w:bidi="cs-CZ"/>
    </w:rPr>
  </w:style>
  <w:style w:type="paragraph" w:customStyle="1" w:styleId="Odstavec">
    <w:name w:val="Odstavec~"/>
    <w:basedOn w:val="Normln"/>
    <w:pPr>
      <w:spacing w:after="115" w:line="225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~"/>
    <w:basedOn w:val="Normln"/>
    <w:pPr>
      <w:spacing w:line="288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g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7" Type="http://schemas.openxmlformats.org/officeDocument/2006/relationships/image" Target="media/image50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theme" Target="theme/theme1.xml"/><Relationship Id="rId19" Type="http://schemas.openxmlformats.org/officeDocument/2006/relationships/image" Target="media/image6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náplň</vt:lpstr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náplň</dc:title>
  <dc:creator>Aleš Kuzník</dc:creator>
  <cp:lastModifiedBy>Cagašová Kateřina</cp:lastModifiedBy>
  <cp:revision>2</cp:revision>
  <dcterms:created xsi:type="dcterms:W3CDTF">2024-01-25T08:39:00Z</dcterms:created>
  <dcterms:modified xsi:type="dcterms:W3CDTF">2024-01-25T08:39:00Z</dcterms:modified>
</cp:coreProperties>
</file>