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jc w:val="left"/>
        <w:rPr/>
      </w:pPr>
      <w:r>
        <w:rPr>
          <w:lang w:val="cs-CZ" w:eastAsia="cs-CZ"/>
        </w:rPr>
        <w:drawing>
          <wp:inline distT="0" distB="0" distL="0" distR="0">
            <wp:extent cx="534670" cy="58864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91" r="-210" b="-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 w:eastAsia="cs-CZ"/>
        </w:rPr>
        <w:t xml:space="preserve">                                     </w:t>
      </w:r>
      <w:r>
        <w:rPr>
          <w:rFonts w:cs="Cambria" w:ascii="Cambria" w:hAnsi="Cambria"/>
          <w:sz w:val="28"/>
          <w:szCs w:val="28"/>
        </w:rPr>
        <w:t>Obec Cidlina</w: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</w:r>
    </w:p>
    <w:p>
      <w:pPr>
        <w:pStyle w:val="Nadpis2"/>
        <w:rPr>
          <w:rFonts w:ascii="Cambria" w:hAnsi="Cambria" w:cs="Cambria"/>
        </w:rPr>
      </w:pPr>
      <w:r>
        <w:rPr>
          <w:rFonts w:cs="Cambria" w:ascii="Cambria" w:hAnsi="Cambria"/>
        </w:rPr>
        <w:t>Obecně závazná vyhláška č. 1/2018,</w:t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adpis3"/>
        <w:rPr>
          <w:rFonts w:ascii="Cambria" w:hAnsi="Cambria" w:cs="Cambria"/>
          <w:sz w:val="28"/>
          <w:szCs w:val="28"/>
          <w:u w:val="none"/>
        </w:rPr>
      </w:pPr>
      <w:r>
        <w:rPr>
          <w:rFonts w:cs="Cambria" w:ascii="Cambria" w:hAnsi="Cambria"/>
          <w:sz w:val="28"/>
          <w:szCs w:val="28"/>
          <w:u w:val="none"/>
        </w:rPr>
        <w:t xml:space="preserve">kterou se stanovují pravidla pro pohyb psů  </w:t>
      </w:r>
    </w:p>
    <w:p>
      <w:pPr>
        <w:pStyle w:val="Nadpis3"/>
        <w:rPr/>
      </w:pPr>
      <w:r>
        <w:rPr>
          <w:rFonts w:cs="Cambria" w:ascii="Cambria" w:hAnsi="Cambria"/>
          <w:sz w:val="28"/>
          <w:szCs w:val="28"/>
          <w:u w:val="none"/>
        </w:rPr>
        <w:t xml:space="preserve">na veřejném prostranství </w:t>
      </w:r>
      <w:r>
        <w:rPr>
          <w:rFonts w:cs="Cambria" w:ascii="Cambria" w:hAnsi="Cambria"/>
          <w:color w:val="000000"/>
          <w:sz w:val="28"/>
          <w:szCs w:val="28"/>
          <w:u w:val="none"/>
        </w:rPr>
        <w:t>a vymezují prostory pro volné pobíhání psů</w:t>
      </w:r>
    </w:p>
    <w:p>
      <w:pPr>
        <w:pStyle w:val="Nzevzkona"/>
        <w:tabs>
          <w:tab w:val="clear" w:pos="709"/>
          <w:tab w:val="left" w:pos="2977" w:leader="none"/>
        </w:tabs>
        <w:spacing w:before="0" w:after="0"/>
        <w:jc w:val="both"/>
        <w:rPr>
          <w:rFonts w:cs="Arial"/>
          <w:b w:val="false"/>
          <w:b w:val="false"/>
          <w:bCs w:val="false"/>
          <w:kern w:val="0"/>
          <w:sz w:val="22"/>
          <w:szCs w:val="22"/>
          <w:u w:val="none"/>
        </w:rPr>
      </w:pPr>
      <w:r>
        <w:rPr>
          <w:rFonts w:cs="Arial"/>
          <w:b w:val="false"/>
          <w:bCs w:val="false"/>
          <w:kern w:val="0"/>
          <w:sz w:val="22"/>
          <w:szCs w:val="22"/>
          <w:u w:val="none"/>
        </w:rPr>
      </w:r>
    </w:p>
    <w:p>
      <w:pPr>
        <w:pStyle w:val="Nzevzkona"/>
        <w:tabs>
          <w:tab w:val="clear" w:pos="709"/>
          <w:tab w:val="left" w:pos="2977" w:leader="none"/>
        </w:tabs>
        <w:spacing w:before="0" w:after="0"/>
        <w:ind w:left="0" w:right="0" w:firstLine="709"/>
        <w:jc w:val="both"/>
        <w:rPr>
          <w:rFonts w:cs="Arial"/>
          <w:b w:val="false"/>
          <w:b w:val="false"/>
          <w:sz w:val="24"/>
          <w:szCs w:val="24"/>
        </w:rPr>
      </w:pPr>
      <w:r>
        <w:rPr>
          <w:rFonts w:cs="Arial"/>
          <w:b w:val="false"/>
          <w:sz w:val="24"/>
          <w:szCs w:val="24"/>
        </w:rPr>
        <w:t xml:space="preserve">Zastupitelstvo obce Cidlina se na svém zasedání dne 20. 6. 2018 usneslo vydat na základě § 24 odst. 2 zákona č. 246/1992 Sb., na ochranu zvířat proti týrání, ve znění pozdějších předpisů, v souladu s § 10 písm. d), § 35 a § 84 odst. 2 písm. h) zákona č. 128/2000 Sb., o obcích (obecní zřízení), ve znění pozdějších předpisů, tuto obecně závaznou vyhlášku (dále jen „vyhláška“): </w:t>
      </w:r>
    </w:p>
    <w:p>
      <w:pPr>
        <w:pStyle w:val="Normal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</w:r>
    </w:p>
    <w:p>
      <w:pPr>
        <w:pStyle w:val="Nadpis9"/>
        <w:rPr>
          <w:rFonts w:ascii="Cambria" w:hAnsi="Cambria" w:cs="Cambria"/>
        </w:rPr>
      </w:pPr>
      <w:r>
        <w:rPr>
          <w:rFonts w:cs="Cambria" w:ascii="Cambria" w:hAnsi="Cambria"/>
        </w:rPr>
        <w:t>Článek 1</w:t>
      </w:r>
    </w:p>
    <w:p>
      <w:pPr>
        <w:pStyle w:val="Nadpis7"/>
        <w:rPr>
          <w:rFonts w:ascii="Cambria" w:hAnsi="Cambria" w:cs="Cambria"/>
          <w:u w:val="none"/>
        </w:rPr>
      </w:pPr>
      <w:r>
        <w:rPr>
          <w:rFonts w:cs="Cambria" w:ascii="Cambria" w:hAnsi="Cambria"/>
          <w:u w:val="none"/>
        </w:rPr>
        <w:t>Předmět úpravy</w:t>
      </w:r>
    </w:p>
    <w:p>
      <w:pPr>
        <w:pStyle w:val="Normal"/>
        <w:rPr>
          <w:rFonts w:ascii="Cambria" w:hAnsi="Cambria" w:cs="Cambria"/>
          <w:u w:val="none"/>
        </w:rPr>
      </w:pPr>
      <w:r>
        <w:rPr>
          <w:rFonts w:cs="Cambria" w:ascii="Cambria" w:hAnsi="Cambria"/>
          <w:u w:val="none"/>
        </w:rPr>
      </w:r>
    </w:p>
    <w:p>
      <w:pPr>
        <w:pStyle w:val="Nadpis6"/>
        <w:ind w:left="0" w:right="0" w:firstLine="709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Tato vyhláška upravuje pravidla pro pohyb psů na veřejných prostranstvích obce Cidlina (dále jen „obec“).</w:t>
      </w:r>
    </w:p>
    <w:p>
      <w:pPr>
        <w:pStyle w:val="Normal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Článek 2</w:t>
      </w:r>
    </w:p>
    <w:p>
      <w:pPr>
        <w:pStyle w:val="Nadpis7"/>
        <w:rPr>
          <w:rFonts w:ascii="Cambria" w:hAnsi="Cambria" w:cs="Cambria"/>
          <w:u w:val="none"/>
        </w:rPr>
      </w:pPr>
      <w:r>
        <w:rPr>
          <w:rFonts w:cs="Cambria" w:ascii="Cambria" w:hAnsi="Cambria"/>
          <w:u w:val="none"/>
        </w:rPr>
        <w:t>Pravidla pro pohyb psů na veřejném prostranství</w:t>
      </w:r>
    </w:p>
    <w:p>
      <w:pPr>
        <w:pStyle w:val="Normal"/>
        <w:rPr>
          <w:rFonts w:ascii="Cambria" w:hAnsi="Cambria" w:cs="Cambria"/>
          <w:u w:val="none"/>
        </w:rPr>
      </w:pPr>
      <w:r>
        <w:rPr>
          <w:rFonts w:cs="Cambria" w:ascii="Cambria" w:hAnsi="Cambria"/>
          <w:u w:val="none"/>
        </w:rPr>
      </w:r>
    </w:p>
    <w:p>
      <w:pPr>
        <w:pStyle w:val="Normal"/>
        <w:numPr>
          <w:ilvl w:val="0"/>
          <w:numId w:val="3"/>
        </w:numPr>
        <w:autoSpaceDE w:val="true"/>
        <w:jc w:val="both"/>
        <w:rPr/>
      </w:pPr>
      <w:r>
        <w:rPr>
          <w:rFonts w:cs="Cambria" w:ascii="Cambria" w:hAnsi="Cambria"/>
          <w:sz w:val="24"/>
          <w:szCs w:val="24"/>
        </w:rPr>
        <w:t>Stanovují se následující pravidla pro pohyb psů na veřejných prostranstvích</w:t>
      </w:r>
      <w:r>
        <w:rPr>
          <w:rStyle w:val="Ukotvenpoznmkypodarou"/>
          <w:rStyle w:val="Ukotvenpoznmkypodarou"/>
          <w:rFonts w:cs="Cambria" w:ascii="Cambria" w:hAnsi="Cambria"/>
          <w:b/>
          <w:sz w:val="24"/>
          <w:szCs w:val="24"/>
          <w:vertAlign w:val="superscript"/>
        </w:rPr>
        <w:footnoteReference w:id="2"/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</w:t>
      </w:r>
      <w:r>
        <w:rPr>
          <w:rFonts w:cs="Cambria" w:ascii="Cambria" w:hAnsi="Cambria"/>
          <w:b/>
          <w:sz w:val="24"/>
          <w:szCs w:val="24"/>
        </w:rPr>
        <w:t> </w:t>
      </w:r>
      <w:r>
        <w:rPr>
          <w:rFonts w:cs="Cambria" w:ascii="Cambria" w:hAnsi="Cambria"/>
          <w:sz w:val="24"/>
          <w:szCs w:val="24"/>
        </w:rPr>
        <w:t xml:space="preserve">obci: </w:t>
      </w:r>
    </w:p>
    <w:p>
      <w:pPr>
        <w:pStyle w:val="Tlotextu"/>
        <w:numPr>
          <w:ilvl w:val="0"/>
          <w:numId w:val="5"/>
        </w:numPr>
        <w:ind w:left="851" w:right="0" w:hanging="284"/>
        <w:rPr>
          <w:rFonts w:ascii="Cambria" w:hAnsi="Cambria" w:cs="Cambria"/>
        </w:rPr>
      </w:pPr>
      <w:r>
        <w:rPr>
          <w:rFonts w:cs="Cambria" w:ascii="Cambria" w:hAnsi="Cambria"/>
        </w:rPr>
        <w:t>na veřejných prostranstvích v intravilánu obce je možný pohyb psů pouze na vodítku,</w:t>
      </w:r>
    </w:p>
    <w:p>
      <w:pPr>
        <w:pStyle w:val="Tlotextu"/>
        <w:numPr>
          <w:ilvl w:val="0"/>
          <w:numId w:val="2"/>
        </w:numPr>
        <w:ind w:left="851" w:right="0" w:hanging="284"/>
        <w:rPr>
          <w:rFonts w:ascii="Cambria" w:hAnsi="Cambria" w:cs="Cambria"/>
        </w:rPr>
      </w:pPr>
      <w:r>
        <w:rPr>
          <w:rFonts w:cs="Cambria" w:ascii="Cambria" w:hAnsi="Cambria"/>
        </w:rPr>
        <w:t>při konání sportovních, společenských a kulturních akcí, na místě konání těchto akcí, je pohyb psů pouze na vodítku a s náhubkem,</w:t>
      </w:r>
    </w:p>
    <w:p>
      <w:pPr>
        <w:pStyle w:val="Tlotextu"/>
        <w:numPr>
          <w:ilvl w:val="0"/>
          <w:numId w:val="2"/>
        </w:numPr>
        <w:ind w:left="851" w:right="0" w:hanging="284"/>
        <w:rPr>
          <w:rFonts w:ascii="Cambria" w:hAnsi="Cambria" w:cs="Cambria"/>
        </w:rPr>
      </w:pPr>
      <w:r>
        <w:rPr>
          <w:rFonts w:cs="Cambria" w:ascii="Cambria" w:hAnsi="Cambria"/>
        </w:rPr>
        <w:t>na veřejných prostranstvích na území obce se zakazuje výcvik psů,</w:t>
      </w:r>
    </w:p>
    <w:p>
      <w:pPr>
        <w:pStyle w:val="Tlotextu"/>
        <w:numPr>
          <w:ilvl w:val="0"/>
          <w:numId w:val="2"/>
        </w:numPr>
        <w:ind w:left="851" w:right="0" w:hanging="284"/>
        <w:rPr>
          <w:rFonts w:ascii="Cambria" w:hAnsi="Cambria" w:cs="Cambria"/>
        </w:rPr>
      </w:pPr>
      <w:r>
        <w:rPr>
          <w:rFonts w:cs="Cambria" w:ascii="Cambria" w:hAnsi="Cambria"/>
        </w:rPr>
        <w:t>pes nesmí vstupovat na veřejná prostranství dětských hřišť a pískovišť.</w:t>
      </w:r>
    </w:p>
    <w:p>
      <w:pPr>
        <w:pStyle w:val="Tlotextu"/>
        <w:numPr>
          <w:ilvl w:val="0"/>
          <w:numId w:val="3"/>
        </w:numPr>
        <w:rPr>
          <w:rFonts w:ascii="Cambria" w:hAnsi="Cambria" w:cs="Cambria"/>
        </w:rPr>
      </w:pPr>
      <w:r>
        <w:rPr>
          <w:rFonts w:cs="Cambria" w:ascii="Cambria" w:hAnsi="Cambria"/>
        </w:rPr>
        <w:t>V případě znečištění veřejného prostranství výkaly psa odstraní neprodleně toto znečištění osoba, která má psa v dané chvíli ve své péči.</w:t>
      </w:r>
    </w:p>
    <w:p>
      <w:pPr>
        <w:pStyle w:val="Normal"/>
        <w:numPr>
          <w:ilvl w:val="0"/>
          <w:numId w:val="3"/>
        </w:numPr>
        <w:autoSpaceDE w:val="true"/>
        <w:jc w:val="both"/>
        <w:rPr/>
      </w:pPr>
      <w:r>
        <w:rPr>
          <w:rFonts w:cs="Cambria" w:ascii="Cambria" w:hAnsi="Cambria"/>
          <w:sz w:val="24"/>
          <w:szCs w:val="24"/>
        </w:rPr>
        <w:t>Splnění povinností stanovených v tomto článku zajišťuje fyzická osoba, která má psa na veřejném prostranství pod neustálou kontrolou či dohledem</w:t>
      </w:r>
      <w:r>
        <w:rPr>
          <w:rStyle w:val="Ukotvenpoznmkypodarou"/>
          <w:rStyle w:val="Ukotvenpoznmkypodarou"/>
          <w:rFonts w:cs="Cambria" w:ascii="Cambria" w:hAnsi="Cambria"/>
          <w:b/>
          <w:sz w:val="24"/>
          <w:szCs w:val="24"/>
          <w:vertAlign w:val="superscript"/>
        </w:rPr>
        <w:footnoteReference w:id="3"/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autoSpaceDE w:val="true"/>
        <w:jc w:val="both"/>
        <w:rPr/>
      </w:pPr>
      <w:r>
        <w:rPr>
          <w:rFonts w:cs="Cambria" w:ascii="Cambria" w:hAnsi="Cambria"/>
          <w:sz w:val="24"/>
          <w:szCs w:val="24"/>
        </w:rPr>
        <w:t>Neodstranění tohoto znečištění je přestupkem</w:t>
      </w:r>
      <w:r>
        <w:rPr>
          <w:rStyle w:val="Ukotvenpoznmkypodarou"/>
          <w:rStyle w:val="Ukotvenpoznmkypodarou"/>
          <w:rFonts w:cs="Cambria" w:ascii="Cambria" w:hAnsi="Cambria"/>
          <w:b/>
          <w:sz w:val="24"/>
          <w:szCs w:val="24"/>
          <w:vertAlign w:val="superscript"/>
        </w:rPr>
        <w:footnoteReference w:id="4"/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Normal"/>
        <w:autoSpaceDE w:val="true"/>
        <w:ind w:left="567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Článek 3</w:t>
      </w:r>
    </w:p>
    <w:p>
      <w:pPr>
        <w:pStyle w:val="Nadpis7"/>
        <w:rPr>
          <w:rFonts w:ascii="Cambria" w:hAnsi="Cambria" w:cs="Cambria"/>
          <w:u w:val="none"/>
        </w:rPr>
      </w:pPr>
      <w:r>
        <w:rPr>
          <w:rFonts w:cs="Cambria" w:ascii="Cambria" w:hAnsi="Cambria"/>
          <w:u w:val="none"/>
        </w:rPr>
        <w:t>Vymezení prostor pro volné pobíhání psů</w:t>
      </w:r>
    </w:p>
    <w:p>
      <w:pPr>
        <w:pStyle w:val="Normal"/>
        <w:rPr>
          <w:rFonts w:ascii="Cambria" w:hAnsi="Cambria" w:cs="Cambria"/>
          <w:u w:val="none"/>
        </w:rPr>
      </w:pPr>
      <w:r>
        <w:rPr>
          <w:rFonts w:cs="Cambria" w:ascii="Cambria" w:hAnsi="Cambria"/>
          <w:u w:val="none"/>
        </w:rPr>
      </w:r>
    </w:p>
    <w:p>
      <w:pPr>
        <w:pStyle w:val="Normal"/>
        <w:numPr>
          <w:ilvl w:val="0"/>
          <w:numId w:val="4"/>
        </w:numPr>
        <w:autoSpaceDE w:val="true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Volné pobíhání psů bez vodítka je možné na veřejných prostranstvích mimo intravilán obce.</w:t>
      </w:r>
    </w:p>
    <w:p>
      <w:pPr>
        <w:pStyle w:val="Tlotextu"/>
        <w:numPr>
          <w:ilvl w:val="0"/>
          <w:numId w:val="4"/>
        </w:numPr>
        <w:rPr>
          <w:rFonts w:ascii="Cambria" w:hAnsi="Cambria" w:cs="Cambria"/>
        </w:rPr>
      </w:pPr>
      <w:r>
        <w:rPr>
          <w:rFonts w:cs="Cambria" w:ascii="Cambria" w:hAnsi="Cambria"/>
        </w:rPr>
        <w:t>Volné pobíhání psů v prostorech uvedených v odst. 1 je možné pouze s náhubkem, pokud to není pro daný druh psa nevhodné, pod neustálým dohledem a přímým vlivem osoby doprovázející psa.</w:t>
      </w:r>
    </w:p>
    <w:p>
      <w:pPr>
        <w:pStyle w:val="Tlotextu"/>
        <w:ind w:left="567" w:right="0" w:hanging="0"/>
        <w:rPr>
          <w:rFonts w:ascii="Cambria" w:hAnsi="Cambria" w:cs="Cambria"/>
          <w:bCs/>
        </w:rPr>
      </w:pPr>
      <w:r>
        <w:rPr>
          <w:rFonts w:cs="Cambria" w:ascii="Cambria" w:hAnsi="Cambria"/>
          <w:bCs/>
        </w:rPr>
      </w:r>
    </w:p>
    <w:p>
      <w:pPr>
        <w:pStyle w:val="Normal"/>
        <w:ind w:left="4112" w:right="0" w:firstLine="142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Čl. 4</w:t>
      </w:r>
    </w:p>
    <w:p>
      <w:pPr>
        <w:pStyle w:val="Normal"/>
        <w:ind w:left="3403" w:right="0" w:firstLine="142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Zrušovací ustanovení</w:t>
      </w:r>
    </w:p>
    <w:p>
      <w:pPr>
        <w:pStyle w:val="Normal"/>
        <w:ind w:left="567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Touto obecně závaznou vyhláškou se ruší obecně závazná vyhláška obce Cidlina č. 5/2002, kterou se stanovují pravidla o chovu hospodářských a ostatních zvířat na území obce Cidlina ze dne 25.4.2002.</w:t>
      </w:r>
    </w:p>
    <w:p>
      <w:pPr>
        <w:pStyle w:val="Slalnk"/>
        <w:spacing w:before="0" w:after="0"/>
        <w:rPr>
          <w:rFonts w:ascii="Cambria" w:hAnsi="Cambria" w:cs="Cambria"/>
          <w:color w:val="000000"/>
          <w:sz w:val="24"/>
          <w:szCs w:val="24"/>
          <w:shd w:fill="FFFFFF" w:val="clear"/>
        </w:rPr>
      </w:pPr>
      <w:r>
        <w:rPr>
          <w:rFonts w:cs="Cambria" w:ascii="Cambria" w:hAnsi="Cambria"/>
          <w:color w:val="000000"/>
          <w:sz w:val="24"/>
          <w:szCs w:val="24"/>
          <w:shd w:fill="FFFFFF" w:val="clear"/>
        </w:rPr>
      </w:r>
    </w:p>
    <w:p>
      <w:pPr>
        <w:pStyle w:val="Slalnk"/>
        <w:spacing w:before="0" w:after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 </w:t>
      </w:r>
    </w:p>
    <w:p>
      <w:pPr>
        <w:pStyle w:val="Slalnk"/>
        <w:spacing w:before="0" w:after="0"/>
        <w:rPr/>
      </w:pPr>
      <w:r>
        <w:rPr>
          <w:rFonts w:cs="Cambria" w:ascii="Cambria" w:hAnsi="Cambria"/>
          <w:szCs w:val="24"/>
        </w:rPr>
        <w:t>Článek 5</w:t>
      </w:r>
    </w:p>
    <w:p>
      <w:pPr>
        <w:pStyle w:val="Nzvylnk"/>
        <w:spacing w:before="0" w:after="0"/>
        <w:rPr>
          <w:rFonts w:ascii="Cambria" w:hAnsi="Cambria" w:cs="Cambria"/>
          <w:szCs w:val="24"/>
        </w:rPr>
      </w:pPr>
      <w:r>
        <w:rPr>
          <w:rFonts w:cs="Cambria" w:ascii="Cambria" w:hAnsi="Cambria"/>
          <w:szCs w:val="24"/>
        </w:rPr>
        <w:t>Účinnost</w:t>
      </w:r>
    </w:p>
    <w:p>
      <w:pPr>
        <w:pStyle w:val="Nzvylnk"/>
        <w:spacing w:before="0" w:after="0"/>
        <w:rPr>
          <w:rFonts w:ascii="Cambria" w:hAnsi="Cambria" w:cs="Cambria"/>
          <w:szCs w:val="24"/>
        </w:rPr>
      </w:pPr>
      <w:r>
        <w:rPr>
          <w:rFonts w:cs="Cambria" w:ascii="Cambria" w:hAnsi="Cambria"/>
          <w:szCs w:val="24"/>
        </w:rPr>
      </w:r>
    </w:p>
    <w:p>
      <w:pPr>
        <w:pStyle w:val="Nzvylnk"/>
        <w:spacing w:before="0" w:after="0"/>
        <w:rPr>
          <w:rFonts w:ascii="Cambria" w:hAnsi="Cambria" w:cs="Cambria"/>
          <w:b w:val="false"/>
          <w:b w:val="false"/>
          <w:szCs w:val="24"/>
        </w:rPr>
      </w:pPr>
      <w:r>
        <w:rPr>
          <w:rFonts w:cs="Cambria" w:ascii="Cambria" w:hAnsi="Cambria"/>
          <w:b w:val="false"/>
          <w:szCs w:val="24"/>
        </w:rPr>
        <w:t>Tato vyhláška nabývá účinnosti patnáctým dnem po dni vyhlášení.</w:t>
      </w:r>
    </w:p>
    <w:p>
      <w:pPr>
        <w:pStyle w:val="Normal"/>
        <w:ind w:left="567" w:right="0" w:hanging="0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tbl>
      <w:tblPr>
        <w:tblW w:w="92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47"/>
        <w:gridCol w:w="1559"/>
        <w:gridCol w:w="1560"/>
        <w:gridCol w:w="3046"/>
      </w:tblGrid>
      <w:tr>
        <w:trPr/>
        <w:tc>
          <w:tcPr>
            <w:tcW w:w="3047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b/>
                <w:sz w:val="24"/>
                <w:szCs w:val="24"/>
              </w:rPr>
              <w:t>Pavel Špaček</w:t>
            </w:r>
          </w:p>
          <w:p>
            <w:pPr>
              <w:pStyle w:val="Normal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cs="Cambria" w:ascii="Cambria" w:hAnsi="Cambria"/>
                <w:sz w:val="24"/>
                <w:szCs w:val="24"/>
              </w:rPr>
              <w:t>místostarosta obce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cs="Cambria" w:ascii="Cambria" w:hAnsi="Cambria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cs="Cambria" w:ascii="Cambria" w:hAnsi="Cambria"/>
                <w:sz w:val="24"/>
                <w:szCs w:val="24"/>
              </w:rPr>
            </w:r>
          </w:p>
        </w:tc>
        <w:tc>
          <w:tcPr>
            <w:tcW w:w="3046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sz w:val="24"/>
                <w:szCs w:val="24"/>
              </w:rPr>
            </w:pPr>
            <w:r>
              <w:rPr>
                <w:rFonts w:cs="Cambria" w:ascii="Cambria" w:hAnsi="Cambria"/>
                <w:b/>
                <w:sz w:val="24"/>
                <w:szCs w:val="24"/>
              </w:rPr>
              <w:t>Libor Veselý</w:t>
            </w:r>
          </w:p>
          <w:p>
            <w:pPr>
              <w:pStyle w:val="Normal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cs="Cambria" w:ascii="Cambria" w:hAnsi="Cambria"/>
                <w:sz w:val="24"/>
                <w:szCs w:val="24"/>
              </w:rPr>
              <w:t>starosta obce</w:t>
            </w:r>
          </w:p>
        </w:tc>
      </w:tr>
    </w:tbl>
    <w:p>
      <w:pPr>
        <w:pStyle w:val="Tlotextu"/>
        <w:tabs>
          <w:tab w:val="clear" w:pos="709"/>
          <w:tab w:val="left" w:pos="1080" w:leader="none"/>
          <w:tab w:val="left" w:pos="7020" w:leader="none"/>
        </w:tabs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Tlotextu"/>
        <w:tabs>
          <w:tab w:val="clear" w:pos="709"/>
          <w:tab w:val="left" w:pos="1080" w:leader="none"/>
          <w:tab w:val="left" w:pos="7020" w:leader="none"/>
        </w:tabs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Tlotextu"/>
        <w:tabs>
          <w:tab w:val="clear" w:pos="709"/>
          <w:tab w:val="left" w:pos="1080" w:leader="none"/>
          <w:tab w:val="left" w:pos="7020" w:leader="none"/>
        </w:tabs>
        <w:rPr>
          <w:rFonts w:ascii="Cambria" w:hAnsi="Cambria" w:cs="Cambria"/>
        </w:rPr>
      </w:pPr>
      <w:r>
        <w:rPr>
          <w:rFonts w:cs="Cambria" w:ascii="Cambria" w:hAnsi="Cambria"/>
        </w:rPr>
        <w:t>Vyvěšeno na úřední desce dne: 21.06.2018</w:t>
      </w:r>
    </w:p>
    <w:p>
      <w:pPr>
        <w:pStyle w:val="Tlotextu"/>
        <w:tabs>
          <w:tab w:val="clear" w:pos="709"/>
          <w:tab w:val="left" w:pos="1080" w:leader="none"/>
          <w:tab w:val="left" w:pos="7020" w:leader="none"/>
        </w:tabs>
        <w:rPr>
          <w:rFonts w:ascii="Cambria" w:hAnsi="Cambria" w:cs="Cambria"/>
        </w:rPr>
      </w:pPr>
      <w:r>
        <w:rPr>
          <w:rFonts w:cs="Cambria" w:ascii="Cambria" w:hAnsi="Cambria"/>
        </w:rPr>
        <w:t>Sejmuto z úřední desky dne: 05.07.2018</w:t>
      </w:r>
    </w:p>
    <w:sectPr>
      <w:footnotePr>
        <w:numFmt w:val="decimal"/>
      </w:footnotePr>
      <w:type w:val="nextPage"/>
      <w:pgSz w:w="11906" w:h="16838"/>
      <w:pgMar w:left="1417" w:right="1417" w:gutter="0" w:header="0" w:top="1135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/>
      </w:pPr>
      <w:r>
        <w:rPr>
          <w:rStyle w:val="Znakypropoznmkupodarou"/>
        </w:rPr>
        <w:footnoteRef/>
      </w:r>
      <w:r>
        <w:rPr>
          <w:rFonts w:cs="Cambria" w:ascii="Cambria" w:hAnsi="Cambria"/>
        </w:rPr>
        <w:t>1) § 34 zákona č. 128/2000 Sb., o obcích (obecní zřízení), ve znění pozdějších předpisů</w:t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2) § 5 odst. 1 písm. f) zákona č. 251/2016 Sb., o některých přestupcích</w:t>
      </w:r>
    </w:p>
    <w:p>
      <w:pPr>
        <w:pStyle w:val="Normal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3) Fyzickou osobou se rozumí například chovatel psa, jeho vlastník nebo doprovázející osoba.</w:t>
      </w:r>
    </w:p>
  </w:footnote>
  <w:footnote w:id="3">
    <w:p>
      <w:pPr>
        <w:pStyle w:val="Poznmkapodarou"/>
        <w:jc w:val="both"/>
        <w:rPr>
          <w:rStyle w:val="Znakypropoznmkupodarou"/>
          <w:rFonts w:ascii="Cambria" w:hAnsi="Cambria" w:cs="Cambria"/>
        </w:rPr>
      </w:pPr>
      <w:r>
        <w:rPr>
          <w:rStyle w:val="Znakypropoznmkupodarou"/>
        </w:rPr>
        <w:footnoteRef/>
      </w:r>
      <w:r>
        <w:rPr/>
      </w:r>
    </w:p>
  </w:footnote>
  <w:footnote w:id="4">
    <w:p>
      <w:pPr>
        <w:pStyle w:val="Normal"/>
        <w:jc w:val="both"/>
        <w:rPr>
          <w:rStyle w:val="Znakypropoznmkupodarou"/>
          <w:rFonts w:ascii="Cambria" w:hAnsi="Cambria" w:cs="Cambria"/>
        </w:rPr>
      </w:pPr>
      <w:r>
        <w:rPr>
          <w:rStyle w:val="Znakypropoznmkupodarou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Nadpis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Nadpis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Nadpis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Nadpis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4"/>
        <w:rFonts w:ascii="Cambria" w:hAnsi="Cambria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4"/>
        <w:bCs/>
        <w:rFonts w:ascii="Cambria" w:hAnsi="Cambria" w:cs="Cambri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32"/>
      <w:szCs w:val="32"/>
      <w:u w:val="single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4"/>
      <w:szCs w:val="24"/>
    </w:rPr>
  </w:style>
  <w:style w:type="paragraph" w:styleId="Nadpis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dpis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4"/>
      <w:szCs w:val="24"/>
    </w:rPr>
  </w:style>
  <w:style w:type="paragraph" w:styleId="Nadpis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24"/>
      <w:szCs w:val="24"/>
      <w:u w:val="single"/>
    </w:rPr>
  </w:style>
  <w:style w:type="paragraph" w:styleId="Nadpis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</w:rPr>
  </w:style>
  <w:style w:type="paragraph" w:styleId="Nadpis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mbria" w:hAnsi="Cambria" w:cs="Times New Roman"/>
    </w:rPr>
  </w:style>
  <w:style w:type="character" w:styleId="WW8Num3z0">
    <w:name w:val="WW8Num3z0"/>
    <w:qFormat/>
    <w:rPr>
      <w:rFonts w:ascii="Cambria" w:hAnsi="Cambria" w:cs="Arial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3z1">
    <w:name w:val="WW8Num3z1"/>
    <w:qFormat/>
    <w:rPr/>
  </w:style>
  <w:style w:type="character" w:styleId="WW8Num4z0">
    <w:name w:val="WW8Num4z0"/>
    <w:qFormat/>
    <w:rPr>
      <w:rFonts w:ascii="Cambria" w:hAnsi="Cambria" w:cs="Cambria"/>
      <w:b w:val="false"/>
      <w:bCs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Cambria" w:hAnsi="Cambria"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Cambria" w:hAnsi="Cambria" w:cs="Cambria"/>
      <w:b w:val="false"/>
      <w:bCs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8z1">
    <w:name w:val="WW8Num8z1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rFonts w:cs="Times New Roman"/>
      <w:color w:val="0000FF"/>
      <w:u w:val="single"/>
    </w:rPr>
  </w:style>
  <w:style w:type="character" w:styleId="TextpoznpodarouChar">
    <w:name w:val="Text pozn. pod čarou Char"/>
    <w:qFormat/>
    <w:rPr>
      <w:lang w:val="cs-CZ" w:eastAsia="cs-CZ" w:bidi="ar-SA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ZkladntextChar">
    <w:name w:val="Základní text Char"/>
    <w:qFormat/>
    <w:rPr>
      <w:sz w:val="24"/>
      <w:szCs w:val="24"/>
    </w:rPr>
  </w:style>
  <w:style w:type="character" w:styleId="Ukotvenpoznmkypodarou">
    <w:name w:val="Ukotvení poznámky pod čarou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Ukotvenvysvtlivky">
    <w:name w:val="Ukotvení vysvětlivky"/>
    <w:rPr>
      <w:vertAlign w:val="superscript"/>
    </w:rPr>
  </w:style>
  <w:style w:type="paragraph" w:styleId="Nadpis">
    <w:name w:val="Nadpis"/>
    <w:basedOn w:val="Normal"/>
    <w:next w:val="Tlotextu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lotextu">
    <w:name w:val="Body Text"/>
    <w:basedOn w:val="Normal"/>
    <w:pPr>
      <w:jc w:val="both"/>
    </w:pPr>
    <w:rPr>
      <w:sz w:val="24"/>
      <w:szCs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kladntext2">
    <w:name w:val="Základní text 2"/>
    <w:basedOn w:val="Normal"/>
    <w:qFormat/>
    <w:pPr>
      <w:jc w:val="center"/>
    </w:pPr>
    <w:rPr>
      <w:sz w:val="22"/>
      <w:szCs w:val="22"/>
    </w:rPr>
  </w:style>
  <w:style w:type="paragraph" w:styleId="Zkladntext3">
    <w:name w:val="Základní text 3"/>
    <w:basedOn w:val="Normal"/>
    <w:qFormat/>
    <w:pPr>
      <w:widowControl w:val="false"/>
      <w:jc w:val="both"/>
    </w:pPr>
    <w:rPr>
      <w:sz w:val="22"/>
      <w:szCs w:val="22"/>
    </w:rPr>
  </w:style>
  <w:style w:type="paragraph" w:styleId="Slalnk">
    <w:name w:val="Čísla článků"/>
    <w:basedOn w:val="Normal"/>
    <w:qFormat/>
    <w:pPr>
      <w:keepNext w:val="true"/>
      <w:keepLines/>
      <w:autoSpaceDE w:val="true"/>
      <w:spacing w:before="360" w:after="60"/>
      <w:jc w:val="center"/>
    </w:pPr>
    <w:rPr>
      <w:b/>
      <w:bCs/>
      <w:sz w:val="24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Bezmezer">
    <w:name w:val="Bez mezer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cs-CZ" w:eastAsia="zh-CN" w:bidi="ar-SA"/>
    </w:rPr>
  </w:style>
  <w:style w:type="paragraph" w:styleId="Nzevzkona">
    <w:name w:val="název zákona"/>
    <w:basedOn w:val="Nadpis"/>
    <w:qFormat/>
    <w:pPr>
      <w:autoSpaceDE w:val="true"/>
    </w:pPr>
    <w:rPr>
      <w:rFonts w:ascii="Cambria" w:hAnsi="Cambria" w:cs="Cambria"/>
    </w:rPr>
  </w:style>
  <w:style w:type="paragraph" w:styleId="Poznmkapodarou">
    <w:name w:val="Footnote Text"/>
    <w:basedOn w:val="Normal"/>
    <w:pPr>
      <w:autoSpaceDE w:val="true"/>
    </w:pPr>
    <w:rPr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false"/>
      <w:spacing w:lineRule="auto" w:line="228"/>
      <w:jc w:val="both"/>
    </w:pPr>
    <w:rPr>
      <w:sz w:val="24"/>
    </w:rPr>
  </w:style>
  <w:style w:type="paragraph" w:styleId="Odstavecseseznamem">
    <w:name w:val="Odstavec se seznamem"/>
    <w:basedOn w:val="Normal"/>
    <w:qFormat/>
    <w:pPr>
      <w:autoSpaceDE w:val="true"/>
      <w:spacing w:lineRule="auto" w:line="252" w:before="0" w:after="0"/>
      <w:ind w:left="720" w:right="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LibreOffice/7.2.0.4$Windows_X86_64 LibreOffice_project/9a9c6381e3f7a62afc1329bd359cc48accb6435b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2018-06-20T12:51:00Z</dcterms:created>
  <dc:creator>Miloslav Holub</dc:creator>
  <dc:description/>
  <dc:language>cs-CZ</dc:language>
  <cp:lastModifiedBy/>
  <cp:lastPrinted>2018-06-20T17:39:00Z</cp:lastPrinted>
  <dcterms:modified xsi:type="dcterms:W3CDTF">2024-06-04T11:41:42Z</dcterms:modified>
  <cp:revision>7</cp:revision>
  <dc:subject/>
  <dc:title>o chovu hospodářských a ostatních zvířat na území města Třebíče</dc:title>
</cp:coreProperties>
</file>