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adpis2"/>
        <w:spacing w:lineRule="atLeast" w:line="280"/>
        <w:jc w:val="center"/>
        <w:rPr>
          <w:rFonts w:ascii="Arial" w:hAnsi="Arial" w:cs="Arial"/>
          <w:b/>
          <w:b/>
          <w:bCs/>
          <w:spacing w:val="40"/>
          <w:sz w:val="32"/>
          <w:szCs w:val="32"/>
          <w:u w:val="none"/>
        </w:rPr>
      </w:pPr>
      <w:r>
        <w:rPr>
          <w:rFonts w:cs="Arial" w:ascii="Arial" w:hAnsi="Arial"/>
          <w:b/>
          <w:bCs/>
          <w:spacing w:val="40"/>
          <w:sz w:val="32"/>
          <w:szCs w:val="32"/>
          <w:u w:val="none"/>
        </w:rPr>
      </w:r>
    </w:p>
    <w:p>
      <w:pPr>
        <w:pStyle w:val="Zhlav"/>
        <w:tabs>
          <w:tab w:val="clear" w:pos="4536"/>
          <w:tab w:val="clear" w:pos="9072"/>
        </w:tabs>
        <w:rPr/>
      </w:pPr>
      <w:r>
        <w:rPr/>
      </w:r>
    </w:p>
    <w:p>
      <w:pPr>
        <w:pStyle w:val="Normal"/>
        <w:spacing w:lineRule="auto" w:line="276"/>
        <w:jc w:val="center"/>
        <w:rPr>
          <w:rFonts w:ascii="Arial" w:hAnsi="Arial" w:cs="Arial"/>
          <w:b/>
          <w:b/>
        </w:rPr>
      </w:pPr>
      <w:r>
        <w:rPr>
          <w:rFonts w:cs="Arial" w:ascii="Arial" w:hAnsi="Arial"/>
          <w:b/>
        </w:rPr>
        <w:t>OBEC Velim</w:t>
      </w:r>
    </w:p>
    <w:p>
      <w:pPr>
        <w:pStyle w:val="Normal"/>
        <w:spacing w:lineRule="auto" w:line="276"/>
        <w:jc w:val="center"/>
        <w:rPr>
          <w:rFonts w:ascii="Arial" w:hAnsi="Arial" w:cs="Arial"/>
          <w:b/>
          <w:b/>
        </w:rPr>
      </w:pPr>
      <w:r>
        <w:rPr>
          <w:rFonts w:cs="Arial" w:ascii="Arial" w:hAnsi="Arial"/>
          <w:b/>
        </w:rPr>
        <w:t>Zastupitelstvo obce Velim</w:t>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t xml:space="preserve">Obecně závazná vyhláška obce Velim </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 xml:space="preserve">Zastupitelstvo obce Velim se na svém zasedání dne 22.11.2023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Obec Velim touto vyhláškou zavádí místní poplatek ze psů (dále jen „poplatek“).</w:t>
      </w:r>
    </w:p>
    <w:p>
      <w:pPr>
        <w:pStyle w:val="Normal"/>
        <w:numPr>
          <w:ilvl w:val="0"/>
          <w:numId w:val="2"/>
        </w:numPr>
        <w:spacing w:before="120" w:after="0"/>
        <w:rPr/>
      </w:pPr>
      <w:r>
        <w:rPr>
          <w:rFonts w:cs="Arial" w:ascii="Arial" w:hAnsi="Arial"/>
          <w:sz w:val="22"/>
          <w:szCs w:val="22"/>
        </w:rPr>
        <w:t>Poplatkovým obdobím poplatku je kalendářní rok.</w:t>
      </w:r>
      <w:r>
        <w:rPr>
          <w:rStyle w:val="Ukotvenpoznmkypodarou"/>
        </w:rPr>
        <w:footnoteReference w:id="2"/>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Správcem poplatku je Obecní úřad Velim.</w:t>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5"/>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příslušné  podle svého místa přihlášení nebo sídla.</w:t>
      </w:r>
      <w:r>
        <w:rPr>
          <w:rStyle w:val="Ukotvenpoznmkypodarou"/>
        </w:rPr>
        <w:footnoteReference w:id="3"/>
      </w:r>
    </w:p>
    <w:p>
      <w:pPr>
        <w:pStyle w:val="Normal"/>
        <w:numPr>
          <w:ilvl w:val="0"/>
          <w:numId w:val="5"/>
        </w:numPr>
        <w:spacing w:lineRule="auto" w:line="288" w:before="120" w:after="0"/>
        <w:jc w:val="both"/>
        <w:rPr/>
      </w:pPr>
      <w:r>
        <w:rPr>
          <w:rFonts w:cs="Arial" w:ascii="Arial" w:hAnsi="Arial"/>
          <w:sz w:val="22"/>
          <w:szCs w:val="22"/>
        </w:rPr>
        <w:t>Poplatek ze psů se platí ze psů starších 3 měsíců.</w:t>
      </w:r>
      <w:r>
        <w:rPr>
          <w:rStyle w:val="Ukotvenpoznmkypodarou"/>
        </w:rPr>
        <w:footnoteReference w:id="4"/>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3"/>
        </w:numPr>
        <w:spacing w:lineRule="auto" w:line="288" w:before="120" w:after="0"/>
        <w:jc w:val="both"/>
        <w:rPr/>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Pr>
        <w:footnoteReference w:id="5"/>
      </w:r>
    </w:p>
    <w:p>
      <w:pPr>
        <w:pStyle w:val="Normal"/>
        <w:numPr>
          <w:ilvl w:val="0"/>
          <w:numId w:val="3"/>
        </w:numPr>
        <w:spacing w:lineRule="auto" w:line="288" w:before="120" w:after="0"/>
        <w:jc w:val="both"/>
        <w:rPr/>
      </w:pPr>
      <w:r>
        <w:rPr>
          <w:rFonts w:cs="Arial" w:ascii="Arial" w:hAnsi="Arial"/>
          <w:sz w:val="22"/>
          <w:szCs w:val="22"/>
        </w:rPr>
        <w:t>Dojde-li ke změně údajů uvedených v ohlášení, je poplatník povinen tuto změnu oznámit do 15 dnů ode dne, kdy nastala.</w:t>
      </w:r>
      <w:r>
        <w:rPr>
          <w:rStyle w:val="Ukotvenpoznmkypodarou"/>
        </w:rPr>
        <w:footnoteReference w:id="6"/>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6"/>
        </w:numPr>
        <w:spacing w:lineRule="auto" w:line="288" w:before="60" w:after="0"/>
        <w:jc w:val="both"/>
        <w:rPr>
          <w:rFonts w:ascii="Arial" w:hAnsi="Arial" w:cs="Arial"/>
          <w:sz w:val="22"/>
          <w:szCs w:val="22"/>
        </w:rPr>
      </w:pPr>
      <w:r>
        <w:rPr>
          <w:rFonts w:cs="Arial" w:ascii="Arial" w:hAnsi="Arial"/>
          <w:sz w:val="22"/>
          <w:szCs w:val="22"/>
        </w:rPr>
        <w:t>za jednoho psa</w:t>
        <w:tab/>
        <w:tab/>
        <w:tab/>
        <w:tab/>
        <w:tab/>
        <w:tab/>
        <w:tab/>
        <w:tab/>
        <w:t>50,- Kč,</w:t>
      </w:r>
    </w:p>
    <w:p>
      <w:pPr>
        <w:pStyle w:val="Normal"/>
        <w:numPr>
          <w:ilvl w:val="1"/>
          <w:numId w:val="6"/>
        </w:numPr>
        <w:spacing w:lineRule="auto" w:line="288" w:before="60" w:after="0"/>
        <w:jc w:val="both"/>
        <w:rPr>
          <w:rFonts w:ascii="Arial" w:hAnsi="Arial" w:cs="Arial"/>
          <w:sz w:val="22"/>
          <w:szCs w:val="22"/>
        </w:rPr>
      </w:pPr>
      <w:r>
        <w:rPr>
          <w:rFonts w:cs="Arial" w:ascii="Arial" w:hAnsi="Arial"/>
          <w:sz w:val="22"/>
          <w:szCs w:val="22"/>
        </w:rPr>
        <w:t>za druhého a každého dalšího psa téhož držitele</w:t>
        <w:tab/>
        <w:tab/>
        <w:tab/>
        <w:t>75,- Kč,</w:t>
      </w:r>
    </w:p>
    <w:p>
      <w:pPr>
        <w:pStyle w:val="Normal"/>
        <w:numPr>
          <w:ilvl w:val="0"/>
          <w:numId w:val="6"/>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Pr>
        <w:footnoteReference w:id="7"/>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7"/>
        </w:numPr>
        <w:spacing w:lineRule="auto" w:line="288" w:before="120" w:after="0"/>
        <w:jc w:val="both"/>
        <w:rPr>
          <w:rFonts w:ascii="Arial" w:hAnsi="Arial" w:cs="Arial"/>
          <w:sz w:val="22"/>
          <w:szCs w:val="22"/>
        </w:rPr>
      </w:pPr>
      <w:r>
        <w:rPr>
          <w:rFonts w:cs="Arial" w:ascii="Arial" w:hAnsi="Arial"/>
          <w:sz w:val="22"/>
          <w:szCs w:val="22"/>
        </w:rPr>
        <w:t>Poplatek je splatný nejpozději do 30.04. příslušného kalendářního roku.</w:t>
      </w:r>
    </w:p>
    <w:p>
      <w:pPr>
        <w:pStyle w:val="Normal"/>
        <w:numPr>
          <w:ilvl w:val="0"/>
          <w:numId w:val="7"/>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Normal"/>
        <w:numPr>
          <w:ilvl w:val="0"/>
          <w:numId w:val="7"/>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Osvobození a úlevy</w:t>
      </w:r>
    </w:p>
    <w:p>
      <w:pPr>
        <w:pStyle w:val="Normal"/>
        <w:numPr>
          <w:ilvl w:val="0"/>
          <w:numId w:val="4"/>
        </w:numPr>
        <w:spacing w:lineRule="auto" w:line="288" w:before="120" w:after="0"/>
        <w:jc w:val="both"/>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rPr>
          <w:rFonts w:cs="Arial" w:ascii="Arial" w:hAnsi="Arial"/>
          <w:sz w:val="22"/>
          <w:szCs w:val="22"/>
        </w:rPr>
        <w:t xml:space="preserve">. </w:t>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Normal"/>
        <w:numPr>
          <w:ilvl w:val="0"/>
          <w:numId w:val="4"/>
        </w:numPr>
        <w:spacing w:lineRule="auto" w:line="288" w:before="120" w:after="0"/>
        <w:jc w:val="both"/>
        <w:rPr/>
      </w:pPr>
      <w:r>
        <w:rPr>
          <w:rFonts w:cs="Arial" w:ascii="Arial" w:hAnsi="Arial"/>
          <w:sz w:val="22"/>
          <w:szCs w:val="22"/>
        </w:rPr>
        <w:t>V případě, že poplatník nesplní povinnost ohlásit údaj rozhodný pro osvobození  ve lhůtách stanovených touto vyhláškou nebo zákonem, nárok na osvobození nebo úlevu zaniká.</w:t>
      </w:r>
      <w:r>
        <w:rPr>
          <w:rStyle w:val="Ukotvenpoznmkypodarou"/>
        </w:rPr>
        <w:footnoteReference w:id="9"/>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Přechodné a zrušovací ustanovení</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pPr>
      <w:r>
        <w:rPr>
          <w:rFonts w:cs="Arial" w:ascii="Arial" w:hAnsi="Arial"/>
          <w:sz w:val="22"/>
          <w:szCs w:val="22"/>
        </w:rPr>
        <w:t>Zrušuje se obecně závazná vyhláška č. 4/ 2019 „Obecně závazná vyhláška obce Velim č. 4/2019, o místním poplatku ze psů“</w:t>
      </w:r>
      <w:r>
        <w:rPr>
          <w:rFonts w:cs="Arial" w:ascii="Arial" w:hAnsi="Arial"/>
          <w:i/>
          <w:sz w:val="22"/>
          <w:szCs w:val="22"/>
        </w:rPr>
        <w:t xml:space="preserve">, </w:t>
      </w:r>
      <w:r>
        <w:rPr>
          <w:rFonts w:cs="Arial" w:ascii="Arial" w:hAnsi="Arial"/>
          <w:sz w:val="22"/>
          <w:szCs w:val="22"/>
        </w:rPr>
        <w:t>ze dne</w:t>
      </w:r>
      <w:r>
        <w:rPr>
          <w:rFonts w:cs="Arial" w:ascii="Arial" w:hAnsi="Arial"/>
          <w:i/>
          <w:sz w:val="22"/>
          <w:szCs w:val="22"/>
        </w:rPr>
        <w:t xml:space="preserve"> 11.12.2019.</w:t>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ormal"/>
        <w:spacing w:lineRule="auto" w:line="288" w:before="120" w:after="0"/>
        <w:ind w:left="0" w:right="0" w:firstLine="709"/>
        <w:jc w:val="both"/>
        <w:rPr>
          <w:rFonts w:ascii="Arial" w:hAnsi="Arial" w:cs="Arial"/>
          <w:sz w:val="22"/>
          <w:szCs w:val="22"/>
        </w:rPr>
      </w:pPr>
      <w:r>
        <w:rPr>
          <w:rFonts w:cs="Arial" w:ascii="Arial" w:hAnsi="Arial"/>
          <w:sz w:val="22"/>
          <w:szCs w:val="22"/>
        </w:rPr>
        <w:t>Tato vyhláška nabývá účinnosti dnem od 01.01.2024.</w:t>
      </w:r>
    </w:p>
    <w:p>
      <w:pPr>
        <w:pStyle w:val="Nzvylnk"/>
        <w:jc w:val="left"/>
        <w:rPr>
          <w:rFonts w:ascii="Arial" w:hAnsi="Arial" w:cs="Arial"/>
          <w:i/>
          <w:i/>
          <w:color w:val="ED7D31"/>
          <w:sz w:val="20"/>
          <w:szCs w:val="20"/>
        </w:rPr>
      </w:pPr>
      <w:r>
        <w:rPr>
          <w:rFonts w:cs="Arial" w:ascii="Arial" w:hAnsi="Arial"/>
          <w:i/>
          <w:color w:val="ED7D31"/>
          <w:sz w:val="20"/>
          <w:szCs w:val="20"/>
        </w:rPr>
      </w:r>
    </w:p>
    <w:p>
      <w:pPr>
        <w:pStyle w:val="Normal"/>
        <w:jc w:val="both"/>
        <w:rPr>
          <w:rFonts w:ascii="Arial" w:hAnsi="Arial" w:cs="Arial"/>
          <w:color w:val="ED7D31"/>
          <w:sz w:val="22"/>
          <w:szCs w:val="22"/>
        </w:rPr>
      </w:pPr>
      <w:r>
        <w:rPr>
          <w:rFonts w:cs="Arial" w:ascii="Arial" w:hAnsi="Arial"/>
          <w:color w:val="ED7D31"/>
          <w:sz w:val="22"/>
          <w:szCs w:val="22"/>
        </w:rPr>
      </w:r>
    </w:p>
    <w:p>
      <w:pPr>
        <w:pStyle w:val="Normal"/>
        <w:spacing w:lineRule="auto" w:line="288" w:before="120" w:after="0"/>
        <w:ind w:left="0" w:right="0" w:firstLine="708"/>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ab/>
        <w:t>Josef Seifert v.r.</w:t>
        <w:tab/>
        <w:t xml:space="preserve">      Milan Bug v.r.</w:t>
      </w:r>
    </w:p>
    <w:p>
      <w:pPr>
        <w:pStyle w:val="Tlotextu"/>
        <w:tabs>
          <w:tab w:val="clear" w:pos="708"/>
          <w:tab w:val="left" w:pos="720" w:leader="none"/>
          <w:tab w:val="left" w:pos="6120" w:leader="none"/>
        </w:tabs>
        <w:spacing w:lineRule="auto" w:line="288" w:before="0" w:after="0"/>
        <w:rPr>
          <w:rFonts w:ascii="Arial" w:hAnsi="Arial" w:cs="Arial"/>
          <w:i/>
          <w:i/>
          <w:sz w:val="22"/>
          <w:szCs w:val="22"/>
        </w:rPr>
      </w:pPr>
      <w:r>
        <w:rPr>
          <w:rFonts w:cs="Arial" w:ascii="Arial" w:hAnsi="Arial"/>
          <w:i/>
          <w:sz w:val="22"/>
          <w:szCs w:val="22"/>
        </w:rPr>
        <w:tab/>
        <w:tab/>
        <w:tab/>
        <w:t xml:space="preserve">   </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ab/>
        <w:t xml:space="preserve">     starosta  </w:t>
        <w:tab/>
        <w:t>místostarosta</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0"/>
        <w:ind w:left="708" w:right="0" w:firstLine="1"/>
        <w:jc w:val="both"/>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ab/>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tabs>
          <w:tab w:val="clear" w:pos="708"/>
          <w:tab w:val="left" w:pos="3780" w:leader="none"/>
        </w:tabs>
        <w:jc w:val="both"/>
        <w:rPr>
          <w:rFonts w:ascii="Arial" w:hAnsi="Arial" w:cs="Arial"/>
          <w:i/>
          <w:i/>
          <w:color w:val="ED7D31"/>
          <w:sz w:val="20"/>
          <w:szCs w:val="20"/>
          <w:u w:val="single"/>
        </w:rPr>
      </w:pPr>
      <w:r>
        <w:rPr>
          <w:rFonts w:cs="Arial" w:ascii="Arial" w:hAnsi="Arial"/>
          <w:i/>
          <w:color w:val="ED7D31"/>
          <w:sz w:val="20"/>
          <w:szCs w:val="20"/>
          <w:u w:val="single"/>
        </w:rPr>
      </w:r>
    </w:p>
    <w:p>
      <w:pPr>
        <w:pStyle w:val="Normal"/>
        <w:tabs>
          <w:tab w:val="clear" w:pos="708"/>
          <w:tab w:val="left" w:pos="3780" w:leader="none"/>
        </w:tabs>
        <w:ind w:left="567" w:right="0" w:hanging="0"/>
        <w:jc w:val="both"/>
        <w:rPr>
          <w:rFonts w:ascii="Arial" w:hAnsi="Arial" w:cs="Arial"/>
          <w:i/>
          <w:i/>
          <w:color w:val="ED7D31"/>
          <w:sz w:val="20"/>
          <w:szCs w:val="20"/>
        </w:rPr>
      </w:pPr>
      <w:r>
        <w:rPr>
          <w:rFonts w:cs="Arial" w:ascii="Arial" w:hAnsi="Arial"/>
          <w:i/>
          <w:color w:val="ED7D31"/>
          <w:sz w:val="20"/>
          <w:szCs w:val="20"/>
        </w:rPr>
      </w:r>
    </w:p>
    <w:p>
      <w:pPr>
        <w:pStyle w:val="Normal"/>
        <w:tabs>
          <w:tab w:val="clear" w:pos="708"/>
          <w:tab w:val="left" w:pos="3780" w:leader="none"/>
        </w:tabs>
        <w:jc w:val="both"/>
        <w:rPr>
          <w:rFonts w:ascii="Arial" w:hAnsi="Arial" w:cs="Arial"/>
          <w:i/>
          <w:i/>
          <w:color w:val="ED7D31"/>
          <w:sz w:val="20"/>
          <w:szCs w:val="20"/>
          <w:u w:val="single"/>
        </w:rPr>
      </w:pPr>
      <w:r>
        <w:rPr>
          <w:rFonts w:cs="Arial" w:ascii="Arial" w:hAnsi="Arial"/>
          <w:i/>
          <w:color w:val="ED7D31"/>
          <w:sz w:val="20"/>
          <w:szCs w:val="20"/>
          <w:u w:val="single"/>
        </w:rPr>
      </w:r>
    </w:p>
    <w:p>
      <w:pPr>
        <w:pStyle w:val="Tlotextu"/>
        <w:tabs>
          <w:tab w:val="clear" w:pos="708"/>
          <w:tab w:val="left" w:pos="1080" w:leader="none"/>
          <w:tab w:val="left" w:pos="7020" w:leader="none"/>
        </w:tabs>
        <w:spacing w:lineRule="auto" w:line="288" w:before="0" w:after="120"/>
        <w:rPr/>
      </w:pPr>
      <w:r>
        <w:rPr/>
      </w:r>
    </w:p>
    <w:sectPr>
      <w:footerReference w:type="default" r:id="rId2"/>
      <w:footnotePr>
        <w:numFmt w:val="decimal"/>
      </w:footnotePr>
      <w:type w:val="nextPage"/>
      <w:pgSz w:w="11906" w:h="16838"/>
      <w:pgMar w:left="1417" w:right="1417" w:gutter="0" w:header="0" w:top="1417" w:footer="708" w:bottom="1417"/>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Arial">
    <w:charset w:val="ee"/>
    <w:family w:val="swiss"/>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rPr/>
    </w:pPr>
    <w:r>
      <w:rPr/>
      <w:fldChar w:fldCharType="begin"/>
    </w:r>
    <w:r>
      <w:rPr/>
      <w:instrText xml:space="preserve"> PAGE </w:instrText>
    </w:r>
    <w:r>
      <w:rPr/>
      <w:fldChar w:fldCharType="separate"/>
    </w:r>
    <w:r>
      <w:rPr/>
      <w:t>3</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Fonts w:ascii="Arial" w:hAnsi="Arial" w:cs="Arial"/>
          <w:sz w:val="18"/>
          <w:szCs w:val="18"/>
        </w:rPr>
      </w:pPr>
      <w:r>
        <w:rPr>
          <w:rStyle w:val="Znakypropoznmkupodarou"/>
        </w:rPr>
        <w:footnoteRef/>
      </w:r>
      <w:r>
        <w:rPr>
          <w:rFonts w:cs="Arial" w:ascii="Arial" w:hAnsi="Arial"/>
          <w:sz w:val="18"/>
          <w:szCs w:val="18"/>
        </w:rPr>
        <w:t>§ 2 odst. 5 zákona o místních poplatcích</w:t>
      </w:r>
    </w:p>
  </w:footnote>
  <w:footnote w:id="3">
    <w:p>
      <w:pPr>
        <w:pStyle w:val="Footnotetext"/>
        <w:jc w:val="both"/>
        <w:rPr>
          <w:rFonts w:ascii="Arial" w:hAnsi="Arial" w:cs="Arial"/>
          <w:sz w:val="18"/>
          <w:szCs w:val="18"/>
        </w:rPr>
      </w:pPr>
      <w:r>
        <w:rPr>
          <w:rStyle w:val="Znakypropoznmkupodarou"/>
        </w:rPr>
        <w:footnoteRef/>
      </w:r>
      <w:r>
        <w:rPr>
          <w:rFonts w:cs="Arial" w:ascii="Arial" w:hAnsi="Arial"/>
          <w:sz w:val="18"/>
          <w:szCs w:val="18"/>
        </w:rPr>
        <w:t>§ 2 odst. 1 a odst. 4 zákona o místních poplatcích</w:t>
      </w:r>
    </w:p>
  </w:footnote>
  <w:footnote w:id="4">
    <w:p>
      <w:pPr>
        <w:pStyle w:val="Footnotetext"/>
        <w:jc w:val="both"/>
        <w:rPr>
          <w:rFonts w:ascii="Arial" w:hAnsi="Arial" w:cs="Arial"/>
          <w:sz w:val="18"/>
          <w:szCs w:val="18"/>
        </w:rPr>
      </w:pPr>
      <w:r>
        <w:rPr>
          <w:rStyle w:val="Znakypropoznmkupodarou"/>
        </w:rPr>
        <w:footnoteRef/>
      </w:r>
      <w:r>
        <w:rPr>
          <w:rFonts w:cs="Arial" w:ascii="Arial" w:hAnsi="Arial"/>
          <w:sz w:val="18"/>
          <w:szCs w:val="18"/>
        </w:rPr>
        <w:t>§ 2 odst. 2 zákona o místních poplatcích</w:t>
      </w:r>
    </w:p>
  </w:footnote>
  <w:footnote w:id="5">
    <w:p>
      <w:pPr>
        <w:pStyle w:val="Footnotetext"/>
        <w:jc w:val="both"/>
        <w:rPr>
          <w:rFonts w:ascii="Arial" w:hAnsi="Arial" w:cs="Arial"/>
          <w:sz w:val="18"/>
          <w:szCs w:val="18"/>
        </w:rPr>
      </w:pPr>
      <w:r>
        <w:rPr>
          <w:rStyle w:val="Znakypropoznmkupodarou"/>
        </w:rPr>
        <w:footnoteRef/>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6">
    <w:p>
      <w:pPr>
        <w:pStyle w:val="Footnotetext"/>
        <w:jc w:val="both"/>
        <w:rPr>
          <w:rFonts w:ascii="Arial" w:hAnsi="Arial" w:cs="Arial"/>
          <w:sz w:val="18"/>
          <w:szCs w:val="18"/>
        </w:rPr>
      </w:pPr>
      <w:r>
        <w:rPr>
          <w:rStyle w:val="Znakypropoznmkupodarou"/>
        </w:rPr>
        <w:footnoteRef/>
      </w:r>
      <w:r>
        <w:rPr>
          <w:rFonts w:cs="Arial" w:ascii="Arial" w:hAnsi="Arial"/>
          <w:sz w:val="18"/>
          <w:szCs w:val="18"/>
        </w:rPr>
        <w:t>§ 14a odst. 4 zákona o místních poplatcích</w:t>
      </w:r>
    </w:p>
  </w:footnote>
  <w:footnote w:id="7">
    <w:p>
      <w:pPr>
        <w:pStyle w:val="Footnotetext"/>
        <w:jc w:val="both"/>
        <w:rPr>
          <w:rFonts w:ascii="Arial" w:hAnsi="Arial" w:cs="Arial"/>
          <w:sz w:val="18"/>
          <w:szCs w:val="18"/>
        </w:rPr>
      </w:pPr>
      <w:r>
        <w:rPr>
          <w:rStyle w:val="Znakypropoznmkupodarou"/>
        </w:rPr>
        <w:footnoteRef/>
      </w:r>
      <w:r>
        <w:rPr>
          <w:rFonts w:cs="Arial" w:ascii="Arial" w:hAnsi="Arial"/>
          <w:sz w:val="18"/>
          <w:szCs w:val="18"/>
        </w:rPr>
        <w:t>§ 2 odst. 3 zákona o místních poplatcích</w:t>
      </w:r>
    </w:p>
  </w:footnote>
  <w:footnote w:id="8">
    <w:p>
      <w:pPr>
        <w:pStyle w:val="Footnotetext"/>
        <w:rPr>
          <w:rFonts w:ascii="Arial" w:hAnsi="Arial" w:cs="Arial"/>
          <w:sz w:val="18"/>
          <w:szCs w:val="18"/>
        </w:rPr>
      </w:pPr>
      <w:r>
        <w:rPr>
          <w:rStyle w:val="Znakypropoznmkupodarou"/>
        </w:rPr>
        <w:footnoteRef/>
      </w:r>
      <w:r>
        <w:rPr>
          <w:rFonts w:cs="Arial" w:ascii="Arial" w:hAnsi="Arial"/>
          <w:sz w:val="18"/>
          <w:szCs w:val="18"/>
        </w:rPr>
        <w:t>§ 2 odst. 2 zákona o místních poplatcích</w:t>
      </w:r>
    </w:p>
  </w:footnote>
  <w:footnote w:id="9">
    <w:p>
      <w:pPr>
        <w:pStyle w:val="Footnotetext"/>
        <w:rPr>
          <w:rFonts w:ascii="Arial" w:hAnsi="Arial" w:cs="Arial"/>
          <w:sz w:val="18"/>
          <w:szCs w:val="18"/>
        </w:rPr>
      </w:pPr>
      <w:r>
        <w:rPr>
          <w:rStyle w:val="Znakypropoznmkupodarou"/>
        </w:rPr>
        <w:footnoteRef/>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extpozmn"/>
      <w:numFmt w:val="decimal"/>
      <w:lvlText w:val="%1."/>
      <w:lvlJc w:val="left"/>
      <w:pPr>
        <w:tabs>
          <w:tab w:val="num" w:pos="425"/>
        </w:tabs>
        <w:ind w:left="850" w:hanging="425"/>
      </w:pPr>
    </w:lvl>
    <w:lvl w:ilvl="1">
      <w:start w:val="1"/>
      <w:pStyle w:val="Nadpis2"/>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i w:val="false"/>
        <w:shadow w:val="false"/>
        <w:b/>
        <w:bCs/>
        <w:emboss w:val="false"/>
        <w:imprint w:val="false"/>
      </w:rPr>
    </w:lvl>
    <w:lvl w:ilvl="1">
      <w:start w:val="1"/>
      <w:numFmt w:val="lowerLetter"/>
      <w:lvlText w:val="%2)"/>
      <w:lvlJc w:val="left"/>
      <w:pPr>
        <w:tabs>
          <w:tab w:val="num" w:pos="1021"/>
        </w:tabs>
        <w:ind w:left="1021" w:hanging="454"/>
      </w:pPr>
    </w:lvl>
    <w:lvl w:ilvl="2">
      <w:start w:val="1"/>
      <w:numFmt w:val="lowerRoman"/>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Roman"/>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Roman"/>
      <w:lvlText w:val="%2.%3.%4.%5.%6.%7.%8.%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i w:val="false"/>
        <w:shadow w:val="false"/>
        <w:b/>
        <w:bCs/>
        <w:emboss w:val="false"/>
        <w:imprint w:val="false"/>
      </w:rPr>
    </w:lvl>
    <w:lvl w:ilvl="1">
      <w:start w:val="1"/>
      <w:numFmt w:val="lowerLetter"/>
      <w:lvlText w:val="%2)"/>
      <w:lvlJc w:val="left"/>
      <w:pPr>
        <w:tabs>
          <w:tab w:val="num" w:pos="1021"/>
        </w:tabs>
        <w:ind w:left="1021" w:hanging="454"/>
      </w:pPr>
    </w:lvl>
    <w:lvl w:ilvl="2">
      <w:start w:val="1"/>
      <w:numFmt w:val="lowerRoman"/>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Roman"/>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Roman"/>
      <w:lvlText w:val="%2.%3.%4.%5.%6.%7.%8.%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Fonts w:cs="Arial"/>
      </w:rPr>
    </w:lvl>
    <w:lvl w:ilvl="1">
      <w:start w:val="1"/>
      <w:numFmt w:val="lowerLetter"/>
      <w:lvlText w:val="%2)"/>
      <w:lvlJc w:val="left"/>
      <w:pPr>
        <w:tabs>
          <w:tab w:val="num" w:pos="1021"/>
        </w:tabs>
        <w:ind w:left="1021" w:hanging="454"/>
      </w:pPr>
    </w:lvl>
    <w:lvl w:ilvl="2">
      <w:start w:val="1"/>
      <w:numFmt w:val="lowerRoman"/>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Roman"/>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Roman"/>
      <w:lvlText w:val="%2.%3.%4.%5.%6.%7.%8.%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cs="Arial"/>
      </w:rPr>
    </w:lvl>
    <w:lvl w:ilvl="1">
      <w:start w:val="1"/>
      <w:numFmt w:val="lowerLetter"/>
      <w:lvlText w:val="%2)"/>
      <w:lvlJc w:val="left"/>
      <w:pPr>
        <w:tabs>
          <w:tab w:val="num" w:pos="1021"/>
        </w:tabs>
        <w:ind w:left="1021" w:hanging="454"/>
      </w:pPr>
    </w:lvl>
    <w:lvl w:ilvl="2">
      <w:start w:val="1"/>
      <w:numFmt w:val="lowerRoman"/>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Roman"/>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Roman"/>
      <w:lvlText w:val="%2.%3.%4.%5.%6.%7.%8.%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cs="Arial"/>
      </w:rPr>
    </w:lvl>
    <w:lvl w:ilvl="1">
      <w:start w:val="1"/>
      <w:numFmt w:val="lowerLetter"/>
      <w:lvlText w:val="%2)"/>
      <w:lvlJc w:val="left"/>
      <w:pPr>
        <w:tabs>
          <w:tab w:val="num" w:pos="1021"/>
        </w:tabs>
        <w:ind w:left="1021" w:hanging="454"/>
      </w:pPr>
    </w:lvl>
    <w:lvl w:ilvl="2">
      <w:start w:val="1"/>
      <w:numFmt w:val="lowerRoman"/>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Roman"/>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Roman"/>
      <w:lvlText w:val="%2.%3.%4.%5.%6.%7.%8.%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0"/>
        <w:i w:val="false"/>
        <w:shadow w:val="false"/>
        <w:b/>
        <w:bCs/>
        <w:emboss w:val="false"/>
        <w:imprint w:val="false"/>
      </w:rPr>
    </w:lvl>
    <w:lvl w:ilvl="1">
      <w:start w:val="1"/>
      <w:numFmt w:val="lowerLetter"/>
      <w:lvlText w:val="%2)"/>
      <w:lvlJc w:val="left"/>
      <w:pPr>
        <w:tabs>
          <w:tab w:val="num" w:pos="1021"/>
        </w:tabs>
        <w:ind w:left="1021" w:hanging="454"/>
      </w:pPr>
    </w:lvl>
    <w:lvl w:ilvl="2">
      <w:start w:val="1"/>
      <w:numFmt w:val="lowerRoman"/>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Roman"/>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Roman"/>
      <w:lvlText w:val="%2.%3.%4.%5.%6.%7.%8.%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i w:val="false"/>
        <w:shadow w:val="false"/>
        <w:b/>
        <w:bCs/>
        <w:emboss w:val="false"/>
        <w:imprint w:val="false"/>
      </w:rPr>
    </w:lvl>
    <w:lvl w:ilvl="1">
      <w:start w:val="1"/>
      <w:numFmt w:val="lowerLetter"/>
      <w:lvlText w:val="%2)"/>
      <w:lvlJc w:val="left"/>
      <w:pPr>
        <w:tabs>
          <w:tab w:val="num" w:pos="1021"/>
        </w:tabs>
        <w:ind w:left="1021" w:hanging="454"/>
      </w:pPr>
    </w:lvl>
    <w:lvl w:ilvl="2">
      <w:start w:val="1"/>
      <w:numFmt w:val="lowerRoman"/>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Roman"/>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Roman"/>
      <w:lvlText w:val="%2.%3.%4.%5.%6.%7.%8.%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30"/>
  <w:defaultTabStop w:val="708"/>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style w:type="paragraph" w:styleId="Normal">
    <w:name w:val="Normal"/>
    <w:qFormat/>
    <w:pPr>
      <w:widowControl/>
      <w:numPr>
        <w:ilvl w:val="0"/>
        <w:numId w:val="0"/>
      </w:numPr>
      <w:kinsoku w:val="true"/>
      <w:overflowPunct w:val="true"/>
      <w:autoSpaceDE w:val="true"/>
      <w:bidi w:val="0"/>
    </w:pPr>
    <w:rPr>
      <w:rFonts w:ascii="Times New Roman" w:hAnsi="Times New Roman" w:eastAsia="Times New Roman" w:cs="Times New Roman"/>
      <w:color w:val="auto"/>
      <w:sz w:val="24"/>
      <w:szCs w:val="24"/>
      <w:lang w:val="cs-CZ" w:eastAsia="cs-CZ" w:bidi="ar-SA"/>
    </w:rPr>
  </w:style>
  <w:style w:type="paragraph" w:styleId="Nadpis2">
    <w:name w:val="Heading 2"/>
    <w:basedOn w:val="Normal"/>
    <w:next w:val="Tlotextu"/>
    <w:qFormat/>
    <w:pPr>
      <w:keepNext w:val="true"/>
      <w:numPr>
        <w:ilvl w:val="1"/>
        <w:numId w:val="1"/>
      </w:numPr>
      <w:jc w:val="both"/>
      <w:outlineLvl w:val="1"/>
    </w:pPr>
    <w:rPr>
      <w:u w:val="single"/>
    </w:rPr>
  </w:style>
  <w:style w:type="character" w:styleId="DefaultParagraphFont">
    <w:name w:val="Default Paragraph Font"/>
    <w:qFormat/>
    <w:rPr/>
  </w:style>
  <w:style w:type="character" w:styleId="Nadpis2Char">
    <w:name w:val="Nadpis 2 Char"/>
    <w:qFormat/>
    <w:rPr>
      <w:sz w:val="24"/>
      <w:szCs w:val="24"/>
      <w:u w:val="single"/>
      <w:lang w:val="cs-CZ" w:eastAsia="cs-CZ" w:bidi="ar-SA"/>
    </w:rPr>
  </w:style>
  <w:style w:type="character" w:styleId="ZhlavChar">
    <w:name w:val="Záhlaví Char"/>
    <w:qFormat/>
    <w:rPr>
      <w:sz w:val="24"/>
      <w:szCs w:val="24"/>
      <w:lang w:val="cs-CZ" w:eastAsia="cs-CZ" w:bidi="ar-SA"/>
    </w:rPr>
  </w:style>
  <w:style w:type="character" w:styleId="ZkladntextChar">
    <w:name w:val="Základní text Char"/>
    <w:qFormat/>
    <w:rPr>
      <w:sz w:val="24"/>
      <w:szCs w:val="24"/>
      <w:lang w:val="cs-CZ" w:eastAsia="cs-CZ" w:bidi="ar-SA"/>
    </w:rPr>
  </w:style>
  <w:style w:type="character" w:styleId="TextpoznpodarouChar">
    <w:name w:val="Text pozn. pod čarou Char"/>
    <w:qFormat/>
    <w:rPr>
      <w:lang w:val="cs-CZ" w:eastAsia="cs-CZ" w:bidi="ar-SA"/>
    </w:rPr>
  </w:style>
  <w:style w:type="character" w:styleId="Footnotereference">
    <w:name w:val="footnote reference"/>
    <w:qFormat/>
    <w:rPr>
      <w:vertAlign w:val="superscript"/>
    </w:rPr>
  </w:style>
  <w:style w:type="character" w:styleId="TextbublinyChar">
    <w:name w:val="Text bubliny Char"/>
    <w:qFormat/>
    <w:rPr>
      <w:rFonts w:ascii="Segoe UI" w:hAnsi="Segoe UI" w:cs="Segoe UI"/>
      <w:sz w:val="18"/>
      <w:szCs w:val="18"/>
    </w:rPr>
  </w:style>
  <w:style w:type="character" w:styleId="Annotationreference">
    <w:name w:val="annotation reference"/>
    <w:qFormat/>
    <w:rPr>
      <w:sz w:val="16"/>
      <w:szCs w:val="16"/>
    </w:rPr>
  </w:style>
  <w:style w:type="character" w:styleId="TextkomenteChar">
    <w:name w:val="Text komentáře Char"/>
    <w:basedOn w:val="DefaultParagraphFont"/>
    <w:qFormat/>
    <w:rPr/>
  </w:style>
  <w:style w:type="character" w:styleId="ZpatChar">
    <w:name w:val="Zápatí Char"/>
    <w:qFormat/>
    <w:rPr>
      <w:rFonts w:ascii="Calibri" w:hAnsi="Calibri" w:eastAsia="Calibri"/>
      <w:sz w:val="22"/>
      <w:szCs w:val="22"/>
      <w:lang w:eastAsia="en-US"/>
    </w:rPr>
  </w:style>
  <w:style w:type="character" w:styleId="Ukotvenpoznmkypodarou">
    <w:name w:val="Ukotvení poznámky pod čarou"/>
    <w:rPr>
      <w:vertAlign w:val="superscript"/>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Microsoft YaHei" w:cs="Lucida Sans"/>
      <w:sz w:val="28"/>
      <w:szCs w:val="28"/>
    </w:rPr>
  </w:style>
  <w:style w:type="paragraph" w:styleId="Tlotextu">
    <w:name w:val="Body Text"/>
    <w:basedOn w:val="Normal"/>
    <w:pPr>
      <w:numPr>
        <w:ilvl w:val="0"/>
        <w:numId w:val="0"/>
      </w:num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Zhlavazpat">
    <w:name w:val="Záhlaví a zápatí"/>
    <w:basedOn w:val="Normal"/>
    <w:qFormat/>
    <w:pPr>
      <w:suppressLineNumbers/>
      <w:tabs>
        <w:tab w:val="clear" w:pos="708"/>
        <w:tab w:val="center" w:pos="4819" w:leader="none"/>
        <w:tab w:val="right" w:pos="9638" w:leader="none"/>
      </w:tabs>
    </w:pPr>
    <w:rPr/>
  </w:style>
  <w:style w:type="paragraph" w:styleId="Zhlav">
    <w:name w:val="Header"/>
    <w:basedOn w:val="Normal"/>
    <w:pPr>
      <w:numPr>
        <w:ilvl w:val="0"/>
        <w:numId w:val="0"/>
      </w:numPr>
      <w:suppressLineNumbers/>
      <w:tabs>
        <w:tab w:val="clear" w:pos="708"/>
        <w:tab w:val="center" w:pos="4536" w:leader="none"/>
        <w:tab w:val="right" w:pos="9072" w:leader="none"/>
      </w:tabs>
    </w:pPr>
    <w:rPr/>
  </w:style>
  <w:style w:type="paragraph" w:styleId="Footnotetext">
    <w:name w:val="footnote text"/>
    <w:basedOn w:val="Normal"/>
    <w:qFormat/>
    <w:pPr>
      <w:numPr>
        <w:ilvl w:val="0"/>
        <w:numId w:val="0"/>
      </w:numPr>
    </w:pPr>
    <w:rPr>
      <w:sz w:val="20"/>
      <w:szCs w:val="20"/>
    </w:rPr>
  </w:style>
  <w:style w:type="paragraph" w:styleId="Slalnk">
    <w:name w:val="Čísla článků"/>
    <w:basedOn w:val="Normal"/>
    <w:qFormat/>
    <w:pPr>
      <w:keepNext w:val="true"/>
      <w:keepLines/>
      <w:numPr>
        <w:ilvl w:val="0"/>
        <w:numId w:val="0"/>
      </w:numPr>
      <w:spacing w:before="360" w:after="60"/>
      <w:jc w:val="center"/>
    </w:pPr>
    <w:rPr>
      <w:b/>
      <w:bCs/>
      <w:szCs w:val="20"/>
    </w:rPr>
  </w:style>
  <w:style w:type="paragraph" w:styleId="Nzvylnk">
    <w:name w:val="Názvy článků"/>
    <w:basedOn w:val="Slalnk"/>
    <w:qFormat/>
    <w:pPr>
      <w:numPr>
        <w:ilvl w:val="0"/>
        <w:numId w:val="0"/>
      </w:numPr>
      <w:spacing w:before="60" w:after="160"/>
    </w:pPr>
    <w:rPr/>
  </w:style>
  <w:style w:type="paragraph" w:styleId="Textpozmn">
    <w:name w:val="Text pozm.n."/>
    <w:basedOn w:val="Normal"/>
    <w:qFormat/>
    <w:pPr>
      <w:numPr>
        <w:ilvl w:val="0"/>
        <w:numId w:val="1"/>
      </w:numPr>
      <w:tabs>
        <w:tab w:val="clear" w:pos="708"/>
        <w:tab w:val="left" w:pos="851" w:leader="none"/>
      </w:tabs>
      <w:spacing w:before="0" w:after="120"/>
      <w:ind w:left="850" w:right="0" w:hanging="0"/>
      <w:jc w:val="both"/>
      <w:outlineLvl w:val="0"/>
    </w:pPr>
    <w:rPr>
      <w:szCs w:val="20"/>
    </w:rPr>
  </w:style>
  <w:style w:type="paragraph" w:styleId="BalloonText">
    <w:name w:val="Balloon Text"/>
    <w:basedOn w:val="Normal"/>
    <w:qFormat/>
    <w:pPr>
      <w:numPr>
        <w:ilvl w:val="0"/>
        <w:numId w:val="0"/>
      </w:numPr>
    </w:pPr>
    <w:rPr>
      <w:rFonts w:ascii="Segoe UI" w:hAnsi="Segoe UI" w:cs="Segoe UI"/>
      <w:sz w:val="18"/>
      <w:szCs w:val="18"/>
    </w:rPr>
  </w:style>
  <w:style w:type="paragraph" w:styleId="Annotationtext">
    <w:name w:val="annotation text"/>
    <w:basedOn w:val="Normal"/>
    <w:qFormat/>
    <w:pPr>
      <w:numPr>
        <w:ilvl w:val="0"/>
        <w:numId w:val="0"/>
      </w:numPr>
    </w:pPr>
    <w:rPr>
      <w:sz w:val="20"/>
      <w:szCs w:val="20"/>
    </w:rPr>
  </w:style>
  <w:style w:type="paragraph" w:styleId="Zpat">
    <w:name w:val="Footer"/>
    <w:basedOn w:val="Normal"/>
    <w:pPr>
      <w:numPr>
        <w:ilvl w:val="0"/>
        <w:numId w:val="0"/>
      </w:numPr>
      <w:suppressLineNumbers/>
      <w:tabs>
        <w:tab w:val="clear" w:pos="708"/>
        <w:tab w:val="center" w:pos="4536" w:leader="none"/>
        <w:tab w:val="right" w:pos="9072" w:leader="none"/>
      </w:tabs>
    </w:pPr>
    <w:rPr>
      <w:rFonts w:ascii="Calibri" w:hAnsi="Calibri" w:eastAsia="Calibri"/>
      <w:sz w:val="22"/>
      <w:szCs w:val="22"/>
      <w:lang w:eastAsia="en-US"/>
    </w:rPr>
  </w:style>
  <w:style w:type="paragraph" w:styleId="Poznmkapodarou">
    <w:name w:val="Footnote Text"/>
    <w:basedOn w:val="Normal"/>
    <w:pPr>
      <w:suppressLineNumbers/>
      <w:ind w:left="283" w:right="0" w:hanging="283"/>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102</TotalTime>
  <Application>LibreOffice/7.3.7.2$Windows_X86_64 LibreOffice_project/e114eadc50a9ff8d8c8a0567d6da8f454beeb84f</Application>
  <AppVersion>15.0000</AppVersion>
  <Pages>3</Pages>
  <Words>583</Words>
  <Characters>3049</Characters>
  <CharactersWithSpaces>3602</CharactersWithSpaces>
  <Paragraphs>53</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2023-08-03T12:02:00Z</dcterms:created>
  <dc:creator>Žemlová Hana, JUDr.</dc:creator>
  <dc:description/>
  <dc:language>cs-CZ</dc:language>
  <cp:lastModifiedBy/>
  <cp:lastPrinted>2023-11-21T08:52:42Z</cp:lastPrinted>
  <dcterms:modified xsi:type="dcterms:W3CDTF">2023-11-21T08:52:55Z</dcterms:modified>
  <cp:revision>11</cp:revision>
  <dc:subject/>
  <dc:title>Metodický materiál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