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67D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4334FB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77070B6" w14:textId="0913AC93" w:rsidR="000262A8" w:rsidRDefault="000262A8" w:rsidP="000262A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OBEC Nová Telib</w:t>
      </w:r>
    </w:p>
    <w:p w14:paraId="52D04770" w14:textId="4E36D8A2" w:rsidR="000A1E6C" w:rsidRDefault="000A1E6C" w:rsidP="000262A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Zastupitelstvo obce Nová Telib</w:t>
      </w:r>
    </w:p>
    <w:p w14:paraId="5FA0E250" w14:textId="4B297B80" w:rsidR="000262A8" w:rsidRDefault="000262A8" w:rsidP="000262A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Obecně závazná vyhláška obce Nová Telib č.</w:t>
      </w:r>
      <w:r w:rsidR="00992365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/202</w:t>
      </w:r>
      <w:r w:rsidR="00992365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3A16FBFE" w14:textId="228DF87A" w:rsidR="000262A8" w:rsidRDefault="000262A8" w:rsidP="000262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 místním poplatku za </w:t>
      </w:r>
      <w:r w:rsidR="003B0BBA">
        <w:rPr>
          <w:rFonts w:asciiTheme="minorHAnsi" w:hAnsiTheme="minorHAnsi" w:cstheme="minorHAnsi"/>
          <w:b/>
          <w:sz w:val="22"/>
          <w:szCs w:val="22"/>
        </w:rPr>
        <w:t>odkládání komunálního odpadu z nemovité věci</w:t>
      </w:r>
    </w:p>
    <w:p w14:paraId="665EB526" w14:textId="77777777" w:rsidR="008D6906" w:rsidRPr="0041419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A586F1C" w14:textId="1CB49BCD" w:rsidR="00131160" w:rsidRPr="00414198" w:rsidRDefault="000262A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262A8">
        <w:rPr>
          <w:rFonts w:asciiTheme="minorHAnsi" w:hAnsiTheme="minorHAnsi" w:cstheme="minorHAnsi"/>
          <w:b w:val="0"/>
          <w:sz w:val="22"/>
          <w:szCs w:val="22"/>
        </w:rPr>
        <w:t xml:space="preserve">Zastupitelstvo obce Nová Telib se na svém zasedání dne </w:t>
      </w:r>
      <w:r w:rsidR="008F08CD">
        <w:rPr>
          <w:rFonts w:asciiTheme="minorHAnsi" w:hAnsiTheme="minorHAnsi" w:cstheme="minorHAnsi"/>
          <w:b w:val="0"/>
          <w:sz w:val="22"/>
          <w:szCs w:val="22"/>
        </w:rPr>
        <w:t>1</w:t>
      </w:r>
      <w:r w:rsidR="00992365">
        <w:rPr>
          <w:rFonts w:asciiTheme="minorHAnsi" w:hAnsiTheme="minorHAnsi" w:cstheme="minorHAnsi"/>
          <w:b w:val="0"/>
          <w:sz w:val="22"/>
          <w:szCs w:val="22"/>
        </w:rPr>
        <w:t>4</w:t>
      </w:r>
      <w:r w:rsidR="008F08CD">
        <w:rPr>
          <w:rFonts w:asciiTheme="minorHAnsi" w:hAnsiTheme="minorHAnsi" w:cstheme="minorHAnsi"/>
          <w:b w:val="0"/>
          <w:sz w:val="22"/>
          <w:szCs w:val="22"/>
        </w:rPr>
        <w:t>.12.202</w:t>
      </w:r>
      <w:r w:rsidR="00992365">
        <w:rPr>
          <w:rFonts w:asciiTheme="minorHAnsi" w:hAnsiTheme="minorHAnsi" w:cstheme="minorHAnsi"/>
          <w:b w:val="0"/>
          <w:sz w:val="22"/>
          <w:szCs w:val="22"/>
        </w:rPr>
        <w:t>2</w:t>
      </w:r>
      <w:r w:rsidR="008F08C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262A8">
        <w:rPr>
          <w:rFonts w:asciiTheme="minorHAnsi" w:hAnsiTheme="minorHAnsi" w:cstheme="minorHAnsi"/>
          <w:b w:val="0"/>
          <w:sz w:val="22"/>
          <w:szCs w:val="22"/>
        </w:rPr>
        <w:t xml:space="preserve">usnesením č. </w:t>
      </w:r>
      <w:r w:rsidR="00AC0708">
        <w:rPr>
          <w:rFonts w:asciiTheme="minorHAnsi" w:hAnsiTheme="minorHAnsi" w:cstheme="minorHAnsi"/>
          <w:b w:val="0"/>
          <w:sz w:val="22"/>
          <w:szCs w:val="22"/>
        </w:rPr>
        <w:t xml:space="preserve">06/12/2022 </w:t>
      </w:r>
      <w:r w:rsidR="00AC18A4" w:rsidRPr="00414198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3349CE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</w:t>
      </w:r>
      <w:r w:rsidR="001E38ED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131160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>a § 84 odst. 2 pís</w:t>
      </w:r>
      <w:r w:rsidR="00AC18A4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AC18A4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4141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14:paraId="0DAB6C20" w14:textId="77777777" w:rsidR="00131160" w:rsidRPr="00414198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Čl. 1</w:t>
      </w:r>
    </w:p>
    <w:p w14:paraId="045FD122" w14:textId="77777777" w:rsidR="00131160" w:rsidRPr="00414198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Úvodní ustanovení</w:t>
      </w:r>
    </w:p>
    <w:p w14:paraId="6AE6C018" w14:textId="1DD64BC6" w:rsidR="00131160" w:rsidRPr="00414198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Obec </w:t>
      </w:r>
      <w:r w:rsidR="000262A8">
        <w:rPr>
          <w:rFonts w:asciiTheme="minorHAnsi" w:hAnsiTheme="minorHAnsi" w:cstheme="minorHAnsi"/>
          <w:sz w:val="22"/>
          <w:szCs w:val="22"/>
        </w:rPr>
        <w:t>Nová Telib</w:t>
      </w:r>
      <w:r w:rsidRPr="00414198">
        <w:rPr>
          <w:rFonts w:asciiTheme="minorHAnsi" w:hAnsiTheme="minorHAnsi" w:cstheme="minorHAnsi"/>
          <w:sz w:val="22"/>
          <w:szCs w:val="22"/>
        </w:rPr>
        <w:t xml:space="preserve"> touto vyhláškou zavádí místní poplatek </w:t>
      </w:r>
      <w:r w:rsidR="00C63031" w:rsidRPr="00414198">
        <w:rPr>
          <w:rFonts w:asciiTheme="minorHAnsi" w:hAnsiTheme="minorHAnsi" w:cstheme="minorHAnsi"/>
          <w:sz w:val="22"/>
          <w:szCs w:val="22"/>
        </w:rPr>
        <w:t xml:space="preserve">za odkládání komunálního odpadu z nemovité věci </w:t>
      </w:r>
      <w:r w:rsidRPr="00414198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31644225" w14:textId="308ED008" w:rsidR="009D02DA" w:rsidRPr="00414198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Správcem poplatku je obecní úřad </w:t>
      </w:r>
      <w:r w:rsidR="000262A8">
        <w:rPr>
          <w:rFonts w:asciiTheme="minorHAnsi" w:hAnsiTheme="minorHAnsi" w:cstheme="minorHAnsi"/>
          <w:sz w:val="22"/>
          <w:szCs w:val="22"/>
        </w:rPr>
        <w:t>Nová Telib</w:t>
      </w:r>
      <w:r w:rsidR="009D02DA" w:rsidRPr="00414198">
        <w:rPr>
          <w:rFonts w:asciiTheme="minorHAnsi" w:hAnsiTheme="minorHAnsi" w:cstheme="minorHAnsi"/>
          <w:sz w:val="22"/>
          <w:szCs w:val="22"/>
        </w:rPr>
        <w:t>.</w:t>
      </w:r>
      <w:r w:rsidR="009D02DA" w:rsidRPr="00414198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6E4A4ECB" w14:textId="77777777" w:rsidR="00131160" w:rsidRPr="00414198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Čl. 2</w:t>
      </w:r>
    </w:p>
    <w:p w14:paraId="33BDBB48" w14:textId="77777777" w:rsidR="00131160" w:rsidRPr="00414198" w:rsidRDefault="0010309D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Předmět poplatku,</w:t>
      </w:r>
      <w:r w:rsidR="003D427E" w:rsidRPr="00414198">
        <w:rPr>
          <w:rFonts w:asciiTheme="minorHAnsi" w:hAnsiTheme="minorHAnsi" w:cstheme="minorHAnsi"/>
          <w:sz w:val="22"/>
          <w:szCs w:val="22"/>
        </w:rPr>
        <w:t xml:space="preserve"> p</w:t>
      </w:r>
      <w:r w:rsidR="00131160" w:rsidRPr="00414198">
        <w:rPr>
          <w:rFonts w:asciiTheme="minorHAnsi" w:hAnsiTheme="minorHAnsi" w:cstheme="minorHAnsi"/>
          <w:sz w:val="22"/>
          <w:szCs w:val="22"/>
        </w:rPr>
        <w:t>oplatník</w:t>
      </w:r>
      <w:r w:rsidRPr="00414198">
        <w:rPr>
          <w:rFonts w:asciiTheme="minorHAnsi" w:hAnsiTheme="minorHAnsi" w:cstheme="minorHAnsi"/>
          <w:sz w:val="22"/>
          <w:szCs w:val="22"/>
        </w:rPr>
        <w:t xml:space="preserve"> a plátce</w:t>
      </w:r>
      <w:r w:rsidR="00DA4795" w:rsidRPr="00414198">
        <w:rPr>
          <w:rFonts w:asciiTheme="minorHAnsi" w:hAnsiTheme="minorHAnsi" w:cstheme="minorHAnsi"/>
          <w:sz w:val="22"/>
          <w:szCs w:val="22"/>
        </w:rPr>
        <w:t xml:space="preserve"> poplatku</w:t>
      </w:r>
    </w:p>
    <w:p w14:paraId="10C6849D" w14:textId="77777777" w:rsidR="003D427E" w:rsidRPr="00414198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4198">
        <w:rPr>
          <w:rFonts w:asciiTheme="minorHAnsi" w:hAnsiTheme="minorHAnsi" w:cstheme="minorHAnsi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41419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14198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4141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ADA2B24" w14:textId="77777777" w:rsidR="004C0427" w:rsidRPr="00414198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0EB5CF16" w14:textId="77777777" w:rsidR="0010309D" w:rsidRPr="00414198" w:rsidRDefault="0010309D" w:rsidP="0010309D">
      <w:pPr>
        <w:pStyle w:val="Default"/>
        <w:spacing w:after="53"/>
        <w:ind w:firstLine="567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a) fyzická osoba, která má v nemovité věci bydliště, nebo </w:t>
      </w:r>
    </w:p>
    <w:p w14:paraId="6FD62BA6" w14:textId="77777777" w:rsidR="0010309D" w:rsidRPr="00414198" w:rsidRDefault="0010309D" w:rsidP="0010309D">
      <w:pPr>
        <w:pStyle w:val="Default"/>
        <w:ind w:firstLine="567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b) </w:t>
      </w:r>
      <w:r w:rsidR="00F23189" w:rsidRPr="00414198">
        <w:rPr>
          <w:rFonts w:asciiTheme="minorHAnsi" w:hAnsiTheme="minorHAnsi" w:cstheme="minorHAnsi"/>
          <w:sz w:val="22"/>
          <w:szCs w:val="22"/>
        </w:rPr>
        <w:t xml:space="preserve">vlastník nemovité věci, </w:t>
      </w:r>
      <w:r w:rsidRPr="00414198">
        <w:rPr>
          <w:rFonts w:asciiTheme="minorHAnsi" w:hAnsiTheme="minorHAnsi" w:cstheme="minorHAnsi"/>
          <w:sz w:val="22"/>
          <w:szCs w:val="22"/>
        </w:rPr>
        <w:t xml:space="preserve">ve které nemá bydliště žádná fyzická osoba. </w:t>
      </w:r>
    </w:p>
    <w:p w14:paraId="0655630A" w14:textId="77777777" w:rsidR="00A93CB2" w:rsidRPr="00414198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Plátcem poplatku je</w:t>
      </w:r>
      <w:r w:rsidR="003D4FDC"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4141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C5211F" w14:textId="77777777" w:rsidR="00A93CB2" w:rsidRPr="00414198" w:rsidRDefault="00A93CB2" w:rsidP="00A93CB2">
      <w:pPr>
        <w:pStyle w:val="Default"/>
        <w:spacing w:after="53"/>
        <w:ind w:firstLine="567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a) společenství vlastníků jednotek, pokud pro dům vzniklo, nebo </w:t>
      </w:r>
    </w:p>
    <w:p w14:paraId="6994555C" w14:textId="77777777" w:rsidR="003D4FDC" w:rsidRPr="00414198" w:rsidRDefault="00A93CB2" w:rsidP="003D4FDC">
      <w:pPr>
        <w:pStyle w:val="Default"/>
        <w:ind w:firstLine="567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b) vlastník nemovité věci v ostatních případech. </w:t>
      </w:r>
    </w:p>
    <w:p w14:paraId="7A9BA5FA" w14:textId="77777777" w:rsidR="00A93CB2" w:rsidRPr="00414198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color w:val="000000"/>
          <w:sz w:val="22"/>
          <w:szCs w:val="22"/>
        </w:rPr>
        <w:t>Plátce poplatku je povinen vybrat poplatek od poplatníka</w:t>
      </w:r>
      <w:r w:rsidRPr="00414198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5"/>
      </w:r>
      <w:r w:rsidRPr="00414198">
        <w:rPr>
          <w:rFonts w:asciiTheme="minorHAnsi" w:hAnsiTheme="minorHAnsi" w:cstheme="minorHAnsi"/>
          <w:sz w:val="22"/>
          <w:szCs w:val="22"/>
        </w:rPr>
        <w:t>.</w:t>
      </w:r>
    </w:p>
    <w:p w14:paraId="403B55D1" w14:textId="77777777" w:rsidR="00420423" w:rsidRPr="00414198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3F57FF47" w14:textId="77777777" w:rsidR="00E2466A" w:rsidRPr="00414198" w:rsidRDefault="00E2466A" w:rsidP="00E2466A">
      <w:pPr>
        <w:pStyle w:val="slalnk"/>
        <w:spacing w:before="480"/>
        <w:ind w:left="4122" w:firstLine="126"/>
        <w:jc w:val="left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Čl. 3</w:t>
      </w:r>
    </w:p>
    <w:p w14:paraId="2DE92428" w14:textId="77777777" w:rsidR="00E2466A" w:rsidRPr="00414198" w:rsidRDefault="00E2466A" w:rsidP="00E2466A">
      <w:pPr>
        <w:pStyle w:val="Nzvylnk"/>
        <w:ind w:left="3477" w:firstLine="63"/>
        <w:jc w:val="left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Poplatkové období</w:t>
      </w:r>
    </w:p>
    <w:p w14:paraId="641CD271" w14:textId="77777777" w:rsidR="00E2466A" w:rsidRPr="00414198" w:rsidRDefault="00E2466A" w:rsidP="00E2466A">
      <w:pPr>
        <w:spacing w:before="120" w:line="312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40C236EE" w14:textId="77777777" w:rsidR="00131160" w:rsidRPr="00414198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lastRenderedPageBreak/>
        <w:t xml:space="preserve">Čl. </w:t>
      </w:r>
      <w:r w:rsidR="00814217" w:rsidRPr="00414198">
        <w:rPr>
          <w:rFonts w:asciiTheme="minorHAnsi" w:hAnsiTheme="minorHAnsi" w:cstheme="minorHAnsi"/>
          <w:sz w:val="22"/>
          <w:szCs w:val="22"/>
        </w:rPr>
        <w:t>4</w:t>
      </w:r>
    </w:p>
    <w:p w14:paraId="75C2284B" w14:textId="77777777" w:rsidR="00131160" w:rsidRPr="00414198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3490AB4D" w14:textId="7BFAF001" w:rsidR="00716519" w:rsidRPr="00414198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Plátce </w:t>
      </w:r>
      <w:r w:rsidR="00C874B5" w:rsidRPr="00414198">
        <w:rPr>
          <w:rFonts w:asciiTheme="minorHAnsi" w:hAnsiTheme="minorHAnsi" w:cstheme="minorHAnsi"/>
          <w:sz w:val="22"/>
          <w:szCs w:val="22"/>
        </w:rPr>
        <w:t xml:space="preserve">poplatku </w:t>
      </w:r>
      <w:r w:rsidRPr="00414198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0B44A1">
        <w:rPr>
          <w:rFonts w:asciiTheme="minorHAnsi" w:hAnsiTheme="minorHAnsi" w:cstheme="minorHAnsi"/>
          <w:sz w:val="22"/>
          <w:szCs w:val="22"/>
        </w:rPr>
        <w:t>15</w:t>
      </w:r>
      <w:r w:rsidRPr="00414198">
        <w:rPr>
          <w:rFonts w:asciiTheme="minorHAnsi" w:hAnsiTheme="minorHAnsi" w:cstheme="minorHAnsi"/>
          <w:sz w:val="22"/>
          <w:szCs w:val="22"/>
        </w:rPr>
        <w:t xml:space="preserve"> dnů ode dne, kdy nabyl postavení plátce</w:t>
      </w:r>
      <w:r w:rsidR="00C874B5" w:rsidRPr="00414198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414198">
        <w:rPr>
          <w:rFonts w:asciiTheme="minorHAnsi" w:hAnsiTheme="minorHAnsi" w:cstheme="minorHAnsi"/>
          <w:sz w:val="22"/>
          <w:szCs w:val="22"/>
        </w:rPr>
        <w:t>. Pozbytí postavení plátce ohlásí plátce</w:t>
      </w:r>
      <w:r w:rsidR="00C874B5" w:rsidRPr="00414198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414198">
        <w:rPr>
          <w:rFonts w:asciiTheme="minorHAnsi" w:hAnsiTheme="minorHAnsi" w:cstheme="minorHAnsi"/>
          <w:sz w:val="22"/>
          <w:szCs w:val="22"/>
        </w:rPr>
        <w:t xml:space="preserve"> správci poplatku ve lhůt</w:t>
      </w:r>
      <w:r w:rsidR="000B44A1">
        <w:rPr>
          <w:rFonts w:asciiTheme="minorHAnsi" w:hAnsiTheme="minorHAnsi" w:cstheme="minorHAnsi"/>
          <w:sz w:val="22"/>
          <w:szCs w:val="22"/>
        </w:rPr>
        <w:t xml:space="preserve"> 15</w:t>
      </w:r>
      <w:r w:rsidRPr="00414198">
        <w:rPr>
          <w:rFonts w:asciiTheme="minorHAnsi" w:hAnsiTheme="minorHAnsi" w:cstheme="minorHAnsi"/>
          <w:sz w:val="22"/>
          <w:szCs w:val="22"/>
        </w:rPr>
        <w:t xml:space="preserve"> dnů.</w:t>
      </w:r>
    </w:p>
    <w:p w14:paraId="3719DF11" w14:textId="77777777" w:rsidR="00716519" w:rsidRPr="00414198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V ohlášení plátce</w:t>
      </w:r>
      <w:r w:rsidR="00C874B5" w:rsidRPr="00414198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414198">
        <w:rPr>
          <w:rFonts w:asciiTheme="minorHAnsi" w:hAnsiTheme="minorHAnsi" w:cstheme="minorHAnsi"/>
          <w:sz w:val="22"/>
          <w:szCs w:val="22"/>
        </w:rPr>
        <w:t xml:space="preserve"> uvede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Pr="004141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8F6BDC" w14:textId="77777777" w:rsidR="00716519" w:rsidRPr="00414198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414198">
        <w:rPr>
          <w:rFonts w:asciiTheme="minorHAnsi" w:hAnsiTheme="minorHAnsi" w:cstheme="minorHAnsi"/>
          <w:sz w:val="22"/>
          <w:szCs w:val="22"/>
        </w:rPr>
        <w:br/>
      </w:r>
      <w:r w:rsidRPr="00414198">
        <w:rPr>
          <w:rFonts w:asciiTheme="minorHAnsi" w:hAnsiTheme="minorHAnsi" w:cstheme="minorHAnsi"/>
          <w:sz w:val="22"/>
          <w:szCs w:val="22"/>
        </w:rPr>
        <w:t>v poplatkových věcech,</w:t>
      </w:r>
    </w:p>
    <w:p w14:paraId="7729CB35" w14:textId="77777777" w:rsidR="00716519" w:rsidRPr="00414198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1965ACDD" w14:textId="21E9E07D" w:rsidR="00716519" w:rsidRPr="00414198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414198">
        <w:rPr>
          <w:rFonts w:asciiTheme="minorHAnsi" w:hAnsiTheme="minorHAnsi" w:cstheme="minorHAnsi"/>
          <w:sz w:val="22"/>
          <w:szCs w:val="22"/>
        </w:rPr>
        <w:t>.</w:t>
      </w:r>
    </w:p>
    <w:p w14:paraId="6CA55075" w14:textId="77777777" w:rsidR="00716519" w:rsidRPr="00414198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Plátce</w:t>
      </w:r>
      <w:r w:rsidR="00C874B5" w:rsidRPr="00414198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414198">
        <w:rPr>
          <w:rFonts w:asciiTheme="minorHAnsi" w:hAnsiTheme="minorHAnsi" w:cstheme="minorHAnsi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414198">
        <w:rPr>
          <w:rFonts w:asciiTheme="minorHAnsi" w:hAnsiTheme="minorHAnsi" w:cstheme="minorHAnsi"/>
          <w:sz w:val="22"/>
          <w:szCs w:val="22"/>
        </w:rPr>
        <w:t>také</w:t>
      </w:r>
      <w:r w:rsidRPr="00414198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1D0C7EDC" w14:textId="77717AE7" w:rsidR="00716519" w:rsidRPr="00414198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Dojde-li ke změně údajů uvedených v ohlášení, je plátce povinen tuto změnu oznámit do 15 dnů ode dne, kdy nastala.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036B7632" w14:textId="77777777" w:rsidR="00716519" w:rsidRPr="00414198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Povinnost ohlásit údaj podle odst</w:t>
      </w:r>
      <w:r w:rsidR="008102E4" w:rsidRPr="00414198">
        <w:rPr>
          <w:rFonts w:asciiTheme="minorHAnsi" w:hAnsiTheme="minorHAnsi" w:cstheme="minorHAnsi"/>
          <w:sz w:val="22"/>
          <w:szCs w:val="22"/>
        </w:rPr>
        <w:t>avce</w:t>
      </w:r>
      <w:r w:rsidRPr="00414198">
        <w:rPr>
          <w:rFonts w:asciiTheme="minorHAnsi" w:hAnsiTheme="minorHAnsi" w:cstheme="minorHAnsi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4CA21F73" w14:textId="77777777" w:rsidR="006323A6" w:rsidRPr="00414198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Není-li plátce</w:t>
      </w:r>
      <w:r w:rsidR="00DA4795" w:rsidRPr="00414198">
        <w:rPr>
          <w:rFonts w:asciiTheme="minorHAnsi" w:hAnsiTheme="minorHAnsi" w:cstheme="minorHAnsi"/>
          <w:sz w:val="22"/>
          <w:szCs w:val="22"/>
        </w:rPr>
        <w:t xml:space="preserve">, plní </w:t>
      </w:r>
      <w:r w:rsidRPr="00414198">
        <w:rPr>
          <w:rFonts w:asciiTheme="minorHAnsi" w:hAnsiTheme="minorHAnsi" w:cstheme="minorHAnsi"/>
          <w:sz w:val="22"/>
          <w:szCs w:val="22"/>
        </w:rPr>
        <w:t>ohlašovací povinnost poplatník.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</w:p>
    <w:p w14:paraId="029D5CF7" w14:textId="77777777" w:rsidR="00131160" w:rsidRPr="00414198" w:rsidRDefault="00131160" w:rsidP="00956763">
      <w:pPr>
        <w:pStyle w:val="slalnk"/>
        <w:spacing w:before="480"/>
        <w:rPr>
          <w:rFonts w:asciiTheme="minorHAnsi" w:hAnsiTheme="minorHAnsi" w:cstheme="minorHAnsi"/>
          <w:i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Čl. </w:t>
      </w:r>
      <w:r w:rsidR="00814217" w:rsidRPr="00414198">
        <w:rPr>
          <w:rFonts w:asciiTheme="minorHAnsi" w:hAnsiTheme="minorHAnsi" w:cstheme="minorHAnsi"/>
          <w:sz w:val="22"/>
          <w:szCs w:val="22"/>
        </w:rPr>
        <w:t>5</w:t>
      </w:r>
    </w:p>
    <w:p w14:paraId="6A042F91" w14:textId="77777777" w:rsidR="00131160" w:rsidRPr="00414198" w:rsidRDefault="00772922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Základ </w:t>
      </w:r>
      <w:r w:rsidR="00131160" w:rsidRPr="00414198">
        <w:rPr>
          <w:rFonts w:asciiTheme="minorHAnsi" w:hAnsiTheme="minorHAnsi" w:cstheme="minorHAnsi"/>
          <w:sz w:val="22"/>
          <w:szCs w:val="22"/>
        </w:rPr>
        <w:t>poplatku</w:t>
      </w:r>
      <w:r w:rsidR="00330165"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3DA1C497" w14:textId="77777777" w:rsidR="00772922" w:rsidRPr="00414198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Základem </w:t>
      </w:r>
      <w:r w:rsidR="00E26EDC" w:rsidRPr="00414198"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414198">
        <w:rPr>
          <w:rFonts w:asciiTheme="minorHAnsi" w:hAnsiTheme="minorHAnsi" w:cstheme="minorHAnsi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01FFA974" w14:textId="77777777" w:rsidR="00772922" w:rsidRPr="00414198" w:rsidRDefault="00772922" w:rsidP="001E58D2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8147D63" w14:textId="77777777" w:rsidR="00772922" w:rsidRPr="00414198" w:rsidRDefault="00772922" w:rsidP="001E58D2">
      <w:pPr>
        <w:pStyle w:val="Default"/>
        <w:spacing w:after="55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lastRenderedPageBreak/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41419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5CD218C6" w14:textId="42921E52" w:rsidR="00DA4795" w:rsidRPr="00490733" w:rsidRDefault="001E58D2" w:rsidP="0049073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b) </w:t>
      </w:r>
      <w:r w:rsidR="00772922" w:rsidRPr="00414198">
        <w:rPr>
          <w:rFonts w:asciiTheme="minorHAnsi" w:hAnsiTheme="minorHAnsi" w:cstheme="minorHAnsi"/>
          <w:sz w:val="22"/>
          <w:szCs w:val="22"/>
        </w:rPr>
        <w:t xml:space="preserve">kapacita soustřeďovacích prostředků pro tuto nemovitou věc na </w:t>
      </w:r>
      <w:r w:rsidRPr="00414198">
        <w:rPr>
          <w:rFonts w:asciiTheme="minorHAnsi" w:hAnsiTheme="minorHAnsi" w:cstheme="minorHAnsi"/>
          <w:sz w:val="22"/>
          <w:szCs w:val="22"/>
        </w:rPr>
        <w:t>kalendářní měsíc</w:t>
      </w:r>
      <w:r w:rsidR="00772922" w:rsidRPr="00414198">
        <w:rPr>
          <w:rFonts w:asciiTheme="minorHAnsi" w:hAnsiTheme="minorHAnsi" w:cstheme="minorHAnsi"/>
          <w:sz w:val="22"/>
          <w:szCs w:val="22"/>
        </w:rPr>
        <w:t xml:space="preserve"> </w:t>
      </w:r>
      <w:r w:rsidR="00AC1418" w:rsidRPr="00414198">
        <w:rPr>
          <w:rFonts w:asciiTheme="minorHAnsi" w:hAnsiTheme="minorHAnsi" w:cstheme="minorHAnsi"/>
          <w:sz w:val="22"/>
          <w:szCs w:val="22"/>
        </w:rPr>
        <w:br/>
      </w:r>
      <w:r w:rsidR="00772922" w:rsidRPr="00414198">
        <w:rPr>
          <w:rFonts w:asciiTheme="minorHAnsi" w:hAnsiTheme="minorHAnsi" w:cstheme="minorHAnsi"/>
          <w:sz w:val="22"/>
          <w:szCs w:val="22"/>
        </w:rPr>
        <w:t xml:space="preserve">v případě, že v nemovité věci nemá bydliště žádná fyzická osoba. </w:t>
      </w:r>
    </w:p>
    <w:p w14:paraId="030D5B12" w14:textId="77777777" w:rsidR="00330165" w:rsidRPr="00414198" w:rsidRDefault="00330165" w:rsidP="00330165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Čl. </w:t>
      </w:r>
      <w:r w:rsidR="00814217" w:rsidRPr="00414198">
        <w:rPr>
          <w:rFonts w:asciiTheme="minorHAnsi" w:hAnsiTheme="minorHAnsi" w:cstheme="minorHAnsi"/>
          <w:sz w:val="22"/>
          <w:szCs w:val="22"/>
        </w:rPr>
        <w:t>6</w:t>
      </w:r>
    </w:p>
    <w:p w14:paraId="326B6DAC" w14:textId="77777777" w:rsidR="00330165" w:rsidRPr="00414198" w:rsidRDefault="00330165" w:rsidP="00330165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Sazba poplatku</w:t>
      </w:r>
    </w:p>
    <w:p w14:paraId="5E5B38CD" w14:textId="77777777" w:rsidR="00330165" w:rsidRPr="00414198" w:rsidRDefault="00330165" w:rsidP="00303591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</w:p>
    <w:p w14:paraId="2839691B" w14:textId="5108E128" w:rsidR="00601AB9" w:rsidRPr="00592FB7" w:rsidRDefault="006A4A80" w:rsidP="00592FB7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 </w:t>
      </w:r>
      <w:r w:rsidR="00330165" w:rsidRPr="00414198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592FB7">
        <w:rPr>
          <w:rFonts w:asciiTheme="minorHAnsi" w:hAnsiTheme="minorHAnsi" w:cstheme="minorHAnsi"/>
          <w:sz w:val="22"/>
          <w:szCs w:val="22"/>
        </w:rPr>
        <w:t>0,7</w:t>
      </w:r>
      <w:r w:rsidR="007C0A75">
        <w:rPr>
          <w:rFonts w:asciiTheme="minorHAnsi" w:hAnsiTheme="minorHAnsi" w:cstheme="minorHAnsi"/>
          <w:sz w:val="22"/>
          <w:szCs w:val="22"/>
        </w:rPr>
        <w:t>8</w:t>
      </w:r>
      <w:r w:rsidR="00330165" w:rsidRPr="00414198">
        <w:rPr>
          <w:rFonts w:asciiTheme="minorHAnsi" w:hAnsiTheme="minorHAnsi" w:cstheme="minorHAnsi"/>
          <w:sz w:val="22"/>
          <w:szCs w:val="22"/>
        </w:rPr>
        <w:t xml:space="preserve"> Kč za l.</w:t>
      </w:r>
    </w:p>
    <w:p w14:paraId="3EDFAAFF" w14:textId="77777777" w:rsidR="00601AB9" w:rsidRPr="00414198" w:rsidRDefault="00601AB9" w:rsidP="00601AB9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Čl. </w:t>
      </w:r>
      <w:r w:rsidR="00814217" w:rsidRPr="00414198">
        <w:rPr>
          <w:rFonts w:asciiTheme="minorHAnsi" w:hAnsiTheme="minorHAnsi" w:cstheme="minorHAnsi"/>
          <w:sz w:val="22"/>
          <w:szCs w:val="22"/>
        </w:rPr>
        <w:t>7</w:t>
      </w:r>
    </w:p>
    <w:p w14:paraId="25AFD6AC" w14:textId="77777777" w:rsidR="00601AB9" w:rsidRPr="00414198" w:rsidRDefault="00931436" w:rsidP="00601AB9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Výpočet</w:t>
      </w:r>
      <w:r w:rsidR="00601AB9" w:rsidRPr="00414198">
        <w:rPr>
          <w:rFonts w:asciiTheme="minorHAnsi" w:hAnsiTheme="minorHAnsi" w:cstheme="minorHAnsi"/>
          <w:sz w:val="22"/>
          <w:szCs w:val="22"/>
        </w:rPr>
        <w:t xml:space="preserve"> poplatku</w:t>
      </w:r>
      <w:r w:rsidR="009B3D7F"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14:paraId="65CB5CBF" w14:textId="77777777" w:rsidR="00601AB9" w:rsidRPr="00414198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Poplatek se vypočte jako součet dílčích poplatků za jednotlivé kalendářní měsíce, na jejichž konci </w:t>
      </w:r>
    </w:p>
    <w:p w14:paraId="45B20A8A" w14:textId="77777777" w:rsidR="00601AB9" w:rsidRPr="00414198" w:rsidRDefault="00601AB9" w:rsidP="009B3D7F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a) měl poplatník v nemovité věci bydliště, nebo </w:t>
      </w:r>
    </w:p>
    <w:p w14:paraId="5A4B3356" w14:textId="77777777" w:rsidR="009B3D7F" w:rsidRPr="00414198" w:rsidRDefault="00601AB9" w:rsidP="009B3D7F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1FD56F7" w14:textId="77777777" w:rsidR="009B3D7F" w:rsidRPr="00414198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3EFE0AB6" w14:textId="77777777" w:rsidR="00601AB9" w:rsidRPr="00414198" w:rsidRDefault="00601AB9" w:rsidP="009B3D7F">
      <w:p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EDBECF" w14:textId="77777777" w:rsidR="00131160" w:rsidRPr="00414198" w:rsidRDefault="006F616E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Čl. </w:t>
      </w:r>
      <w:r w:rsidR="00814217" w:rsidRPr="00414198">
        <w:rPr>
          <w:rFonts w:asciiTheme="minorHAnsi" w:hAnsiTheme="minorHAnsi" w:cstheme="minorHAnsi"/>
          <w:sz w:val="22"/>
          <w:szCs w:val="22"/>
        </w:rPr>
        <w:t>8</w:t>
      </w:r>
    </w:p>
    <w:p w14:paraId="65BDEB1B" w14:textId="77777777" w:rsidR="00131160" w:rsidRPr="00414198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Splatnost poplatku</w:t>
      </w:r>
    </w:p>
    <w:p w14:paraId="41F157D4" w14:textId="7637CC53" w:rsidR="00601AB9" w:rsidRPr="0006389A" w:rsidRDefault="00BB4A95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A95">
        <w:rPr>
          <w:rFonts w:asciiTheme="minorHAnsi" w:hAnsiTheme="minorHAnsi" w:cstheme="minorHAnsi"/>
          <w:sz w:val="22"/>
          <w:szCs w:val="22"/>
        </w:rPr>
        <w:t xml:space="preserve">Plátce poplatku odvede vybraný poplatek správci poplatku nejpozději do </w:t>
      </w:r>
      <w:r>
        <w:rPr>
          <w:rFonts w:asciiTheme="minorHAnsi" w:hAnsiTheme="minorHAnsi" w:cstheme="minorHAnsi"/>
          <w:sz w:val="22"/>
          <w:szCs w:val="22"/>
        </w:rPr>
        <w:t>31.3.</w:t>
      </w:r>
      <w:r w:rsidRPr="00BB4A95">
        <w:rPr>
          <w:rFonts w:asciiTheme="minorHAnsi" w:hAnsiTheme="minorHAnsi" w:cstheme="minorHAnsi"/>
          <w:sz w:val="22"/>
          <w:szCs w:val="22"/>
        </w:rPr>
        <w:t xml:space="preserve"> příslušného kalendářního roku. </w:t>
      </w:r>
      <w:r w:rsidR="00601AB9" w:rsidRPr="000638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8778FC" w14:textId="77777777" w:rsidR="00BB4A95" w:rsidRDefault="00BB4A95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A95">
        <w:rPr>
          <w:rFonts w:asciiTheme="minorHAnsi" w:hAnsiTheme="minorHAnsi" w:cstheme="minorHAnsi"/>
          <w:sz w:val="22"/>
          <w:szCs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14:paraId="349B84F5" w14:textId="0E619C96" w:rsidR="00BB4A95" w:rsidRDefault="00BB4A95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A95">
        <w:rPr>
          <w:rFonts w:asciiTheme="minorHAnsi" w:hAnsiTheme="minorHAnsi" w:cstheme="minorHAnsi"/>
          <w:sz w:val="22"/>
          <w:szCs w:val="22"/>
        </w:rPr>
        <w:t>Lhůta pro odvedení poplatku neskončí plátci poplatku dříve než lhůta pro podání ohlášení podle čl.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B4A95">
        <w:rPr>
          <w:rFonts w:asciiTheme="minorHAnsi" w:hAnsiTheme="minorHAnsi" w:cstheme="minorHAnsi"/>
          <w:sz w:val="22"/>
          <w:szCs w:val="22"/>
        </w:rPr>
        <w:t xml:space="preserve"> odst.</w:t>
      </w:r>
      <w:r>
        <w:rPr>
          <w:rFonts w:asciiTheme="minorHAnsi" w:hAnsiTheme="minorHAnsi" w:cstheme="minorHAnsi"/>
          <w:sz w:val="22"/>
          <w:szCs w:val="22"/>
        </w:rPr>
        <w:t xml:space="preserve">1 </w:t>
      </w:r>
      <w:r w:rsidRPr="00BB4A95">
        <w:rPr>
          <w:rFonts w:asciiTheme="minorHAnsi" w:hAnsiTheme="minorHAnsi" w:cstheme="minorHAnsi"/>
          <w:sz w:val="22"/>
          <w:szCs w:val="22"/>
        </w:rPr>
        <w:t>této vyhlášky.</w:t>
      </w:r>
    </w:p>
    <w:p w14:paraId="62C344DE" w14:textId="257D95F1" w:rsidR="006323A6" w:rsidRPr="00BB4A95" w:rsidRDefault="00BB4A95" w:rsidP="00BB4A95">
      <w:pPr>
        <w:numPr>
          <w:ilvl w:val="0"/>
          <w:numId w:val="32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A95">
        <w:rPr>
          <w:rFonts w:asciiTheme="minorHAnsi" w:hAnsiTheme="minorHAnsi" w:cstheme="minorHAnsi"/>
          <w:sz w:val="22"/>
          <w:szCs w:val="22"/>
        </w:rPr>
        <w:t>Není-li plátce poplatku, zaplatí poplatek ve lhůtě podle odstavce 1, 2 nebo 3 poplatník.</w:t>
      </w:r>
      <w:r w:rsidR="00A80F16" w:rsidRPr="00BB4A95">
        <w:rPr>
          <w:rFonts w:asciiTheme="minorHAnsi" w:hAnsiTheme="minorHAnsi" w:cstheme="minorHAnsi"/>
          <w:sz w:val="22"/>
          <w:szCs w:val="22"/>
          <w:vertAlign w:val="superscript"/>
        </w:rPr>
        <w:t>12</w:t>
      </w:r>
    </w:p>
    <w:p w14:paraId="7835E537" w14:textId="77777777" w:rsidR="006323A6" w:rsidRPr="00414198" w:rsidRDefault="006323A6" w:rsidP="00601AB9">
      <w:pPr>
        <w:spacing w:line="312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6A776C0" w14:textId="77777777" w:rsidR="00131160" w:rsidRPr="00414198" w:rsidRDefault="006F616E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Čl. </w:t>
      </w:r>
      <w:r w:rsidR="00814217" w:rsidRPr="00414198">
        <w:rPr>
          <w:rFonts w:asciiTheme="minorHAnsi" w:hAnsiTheme="minorHAnsi" w:cstheme="minorHAnsi"/>
          <w:sz w:val="22"/>
          <w:szCs w:val="22"/>
        </w:rPr>
        <w:t>9</w:t>
      </w:r>
    </w:p>
    <w:p w14:paraId="218382B0" w14:textId="77777777" w:rsidR="009B3D7F" w:rsidRPr="00414198" w:rsidRDefault="009B3D7F" w:rsidP="009B3D7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Navýšení poplatku </w:t>
      </w:r>
    </w:p>
    <w:p w14:paraId="4D3952BC" w14:textId="77777777" w:rsidR="00A73DE8" w:rsidRPr="0041419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14:paraId="2B27C400" w14:textId="77777777" w:rsidR="009B3D7F" w:rsidRPr="00414198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lastRenderedPageBreak/>
        <w:t>Nebudou-li poplatky odvedeny plátcem</w:t>
      </w:r>
      <w:r w:rsidR="00FD58CC" w:rsidRPr="00414198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414198">
        <w:rPr>
          <w:rFonts w:asciiTheme="minorHAnsi" w:hAnsiTheme="minorHAnsi" w:cstheme="minorHAnsi"/>
          <w:sz w:val="22"/>
          <w:szCs w:val="22"/>
        </w:rPr>
        <w:t xml:space="preserve"> včas nebo ve správné výši, vyměří mu správce poplatku poplatek platebním výměrem k přímé úhradě.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14:paraId="2F96F557" w14:textId="77777777" w:rsidR="009B3D7F" w:rsidRPr="00414198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Včas </w:t>
      </w:r>
      <w:r w:rsidR="00474813" w:rsidRPr="00414198">
        <w:rPr>
          <w:rFonts w:asciiTheme="minorHAnsi" w:hAnsiTheme="minorHAnsi" w:cstheme="minorHAnsi"/>
          <w:sz w:val="22"/>
          <w:szCs w:val="22"/>
        </w:rPr>
        <w:t xml:space="preserve">nezaplacené nebo </w:t>
      </w:r>
      <w:r w:rsidRPr="00414198">
        <w:rPr>
          <w:rFonts w:asciiTheme="minorHAnsi" w:hAnsiTheme="minorHAnsi" w:cstheme="minorHAnsi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14:paraId="4D4ECD11" w14:textId="77777777" w:rsidR="00F71057" w:rsidRPr="00414198" w:rsidRDefault="006F616E" w:rsidP="00F71057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Čl. 1</w:t>
      </w:r>
      <w:r w:rsidR="00DA4795" w:rsidRPr="00414198">
        <w:rPr>
          <w:rFonts w:asciiTheme="minorHAnsi" w:hAnsiTheme="minorHAnsi" w:cstheme="minorHAnsi"/>
          <w:sz w:val="22"/>
          <w:szCs w:val="22"/>
        </w:rPr>
        <w:t>0</w:t>
      </w:r>
    </w:p>
    <w:p w14:paraId="631DE36F" w14:textId="77777777" w:rsidR="00F71057" w:rsidRPr="00414198" w:rsidRDefault="00F71057" w:rsidP="00F71057">
      <w:pPr>
        <w:pStyle w:val="Nzvylnk"/>
        <w:ind w:left="3399" w:firstLine="141"/>
        <w:jc w:val="left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Společná ustanovení</w:t>
      </w:r>
    </w:p>
    <w:p w14:paraId="0CAB0680" w14:textId="77777777" w:rsidR="00F71057" w:rsidRPr="00414198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14:paraId="18250291" w14:textId="77777777" w:rsidR="00F71057" w:rsidRPr="00414198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14198">
        <w:rPr>
          <w:rStyle w:val="Znakapoznpodarou"/>
          <w:rFonts w:asciiTheme="minorHAnsi" w:hAnsiTheme="minorHAnsi" w:cstheme="minorHAnsi"/>
          <w:sz w:val="22"/>
          <w:szCs w:val="22"/>
        </w:rPr>
        <w:footnoteReference w:id="19"/>
      </w:r>
    </w:p>
    <w:p w14:paraId="5EE032A4" w14:textId="77777777" w:rsidR="00F71057" w:rsidRPr="00414198" w:rsidRDefault="006F616E" w:rsidP="00F71057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Čl. 1</w:t>
      </w:r>
      <w:r w:rsidR="00DA4795" w:rsidRPr="00414198">
        <w:rPr>
          <w:rFonts w:asciiTheme="minorHAnsi" w:hAnsiTheme="minorHAnsi" w:cstheme="minorHAnsi"/>
          <w:sz w:val="22"/>
          <w:szCs w:val="22"/>
        </w:rPr>
        <w:t>1</w:t>
      </w:r>
    </w:p>
    <w:p w14:paraId="5A039FBC" w14:textId="77777777" w:rsidR="00F71057" w:rsidRPr="00414198" w:rsidRDefault="00F71057" w:rsidP="00F71057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Přechodné ustanovení</w:t>
      </w:r>
    </w:p>
    <w:p w14:paraId="5813C730" w14:textId="77777777" w:rsidR="00F71057" w:rsidRPr="00414198" w:rsidRDefault="00F71057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09CD58C1" w14:textId="77777777" w:rsidR="00F71057" w:rsidRPr="00414198" w:rsidRDefault="00F71057" w:rsidP="00F71057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28F33" w14:textId="77777777" w:rsidR="00F71057" w:rsidRPr="00414198" w:rsidRDefault="006F616E" w:rsidP="00F71057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Čl. 1</w:t>
      </w:r>
      <w:r w:rsidR="00DA4795" w:rsidRPr="00414198">
        <w:rPr>
          <w:rFonts w:asciiTheme="minorHAnsi" w:hAnsiTheme="minorHAnsi" w:cstheme="minorHAnsi"/>
          <w:sz w:val="22"/>
          <w:szCs w:val="22"/>
        </w:rPr>
        <w:t>2</w:t>
      </w:r>
    </w:p>
    <w:p w14:paraId="19CC5C04" w14:textId="77777777" w:rsidR="00F71057" w:rsidRPr="00414198" w:rsidRDefault="00F71057" w:rsidP="00F71057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Zrušovací ustanovení</w:t>
      </w:r>
    </w:p>
    <w:p w14:paraId="24D4CE8F" w14:textId="1B5C9C3F" w:rsidR="007A6464" w:rsidRDefault="007A6464" w:rsidP="007A6464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4595723"/>
      <w:r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č. </w:t>
      </w:r>
      <w:r w:rsidR="00992365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iCs/>
          <w:sz w:val="22"/>
          <w:szCs w:val="22"/>
        </w:rPr>
        <w:t>202</w:t>
      </w:r>
      <w:r w:rsidR="00992365">
        <w:rPr>
          <w:rFonts w:asciiTheme="minorHAnsi" w:hAnsiTheme="minorHAnsi" w:cstheme="minorHAnsi"/>
          <w:iCs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o poplatku za komunální odpad, ze dne </w:t>
      </w:r>
      <w:r w:rsidR="00992365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>.1</w:t>
      </w:r>
      <w:r w:rsidR="00992365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992365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CA12D7" w14:textId="4390CDA1" w:rsidR="00F71057" w:rsidRDefault="00F71057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52D6D7C" w14:textId="5ACDF946" w:rsidR="00D176E4" w:rsidRDefault="00D176E4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AE0DA5B" w14:textId="0F25AC6E" w:rsidR="00D176E4" w:rsidRDefault="00D176E4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354A37F" w14:textId="51110711" w:rsidR="00D176E4" w:rsidRDefault="00D176E4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548FF67" w14:textId="2C7ADF4C" w:rsidR="00D176E4" w:rsidRDefault="00D176E4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0D52807" w14:textId="0C6D379D" w:rsidR="00D176E4" w:rsidRDefault="00D176E4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4FB35D0" w14:textId="444C3F3F" w:rsidR="00D176E4" w:rsidRDefault="00D176E4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C232B67" w14:textId="77777777" w:rsidR="00D176E4" w:rsidRPr="00414198" w:rsidRDefault="00D176E4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C4198A6" w14:textId="77777777" w:rsidR="00F71057" w:rsidRPr="00414198" w:rsidRDefault="00F71057" w:rsidP="00F71057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lastRenderedPageBreak/>
        <w:t xml:space="preserve">Čl. </w:t>
      </w:r>
      <w:r w:rsidR="006F616E" w:rsidRPr="00414198">
        <w:rPr>
          <w:rFonts w:asciiTheme="minorHAnsi" w:hAnsiTheme="minorHAnsi" w:cstheme="minorHAnsi"/>
          <w:sz w:val="22"/>
          <w:szCs w:val="22"/>
        </w:rPr>
        <w:t>1</w:t>
      </w:r>
      <w:r w:rsidR="00DA4795" w:rsidRPr="00414198">
        <w:rPr>
          <w:rFonts w:asciiTheme="minorHAnsi" w:hAnsiTheme="minorHAnsi" w:cstheme="minorHAnsi"/>
          <w:sz w:val="22"/>
          <w:szCs w:val="22"/>
        </w:rPr>
        <w:t>3</w:t>
      </w:r>
    </w:p>
    <w:p w14:paraId="3B89EA47" w14:textId="77777777" w:rsidR="00F71057" w:rsidRPr="00414198" w:rsidRDefault="00F71057" w:rsidP="00F71057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Účinnost</w:t>
      </w:r>
    </w:p>
    <w:p w14:paraId="14A28E68" w14:textId="4222A789" w:rsidR="008D6906" w:rsidRPr="00414198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735230">
        <w:rPr>
          <w:rFonts w:asciiTheme="minorHAnsi" w:hAnsiTheme="minorHAnsi" w:cstheme="minorHAnsi"/>
          <w:sz w:val="22"/>
          <w:szCs w:val="22"/>
        </w:rPr>
        <w:t>3</w:t>
      </w:r>
      <w:r w:rsidR="007A6464">
        <w:rPr>
          <w:rFonts w:asciiTheme="minorHAnsi" w:hAnsiTheme="minorHAnsi" w:cstheme="minorHAnsi"/>
          <w:sz w:val="22"/>
          <w:szCs w:val="22"/>
        </w:rPr>
        <w:t>.</w:t>
      </w:r>
      <w:r w:rsidR="00735230">
        <w:rPr>
          <w:rFonts w:asciiTheme="minorHAnsi" w:hAnsiTheme="minorHAnsi" w:cstheme="minorHAnsi"/>
          <w:sz w:val="22"/>
          <w:szCs w:val="22"/>
        </w:rPr>
        <w:t>2</w:t>
      </w:r>
      <w:r w:rsidR="007A6464">
        <w:rPr>
          <w:rFonts w:asciiTheme="minorHAnsi" w:hAnsiTheme="minorHAnsi" w:cstheme="minorHAnsi"/>
          <w:sz w:val="22"/>
          <w:szCs w:val="22"/>
        </w:rPr>
        <w:t>.202</w:t>
      </w:r>
      <w:r w:rsidR="00992365">
        <w:rPr>
          <w:rFonts w:asciiTheme="minorHAnsi" w:hAnsiTheme="minorHAnsi" w:cstheme="minorHAnsi"/>
          <w:sz w:val="22"/>
          <w:szCs w:val="22"/>
        </w:rPr>
        <w:t>3</w:t>
      </w:r>
      <w:r w:rsidRPr="00414198">
        <w:rPr>
          <w:rFonts w:asciiTheme="minorHAnsi" w:hAnsiTheme="minorHAnsi" w:cstheme="minorHAnsi"/>
          <w:sz w:val="22"/>
          <w:szCs w:val="22"/>
        </w:rPr>
        <w:t xml:space="preserve"> . </w:t>
      </w:r>
    </w:p>
    <w:p w14:paraId="6FDE04EB" w14:textId="77777777" w:rsidR="006C4DB3" w:rsidRPr="00414198" w:rsidRDefault="006C4DB3" w:rsidP="008F37B4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6FAAD3" w14:textId="5A6A079F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414198">
        <w:rPr>
          <w:rFonts w:asciiTheme="minorHAnsi" w:hAnsiTheme="minorHAnsi" w:cstheme="minorHAnsi"/>
          <w:i/>
          <w:sz w:val="22"/>
          <w:szCs w:val="22"/>
        </w:rPr>
        <w:tab/>
        <w:t>Podpis</w:t>
      </w:r>
      <w:r w:rsidRPr="00414198">
        <w:rPr>
          <w:rFonts w:asciiTheme="minorHAnsi" w:hAnsiTheme="minorHAnsi" w:cstheme="minorHAnsi"/>
          <w:i/>
          <w:sz w:val="22"/>
          <w:szCs w:val="22"/>
        </w:rPr>
        <w:tab/>
        <w:t>Podpis</w:t>
      </w:r>
    </w:p>
    <w:p w14:paraId="30B33DD9" w14:textId="77777777" w:rsidR="007A6464" w:rsidRPr="00414198" w:rsidRDefault="007A64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DF93971" w14:textId="77777777" w:rsidR="00131160" w:rsidRPr="00414198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414198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414198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3D1D8742" w14:textId="77777777" w:rsidR="00131160" w:rsidRPr="00414198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ab/>
        <w:t xml:space="preserve">Jméno Příjmení </w:t>
      </w:r>
      <w:r w:rsidRPr="00414198">
        <w:rPr>
          <w:rFonts w:asciiTheme="minorHAnsi" w:hAnsiTheme="minorHAnsi" w:cstheme="minorHAnsi"/>
          <w:sz w:val="22"/>
          <w:szCs w:val="22"/>
        </w:rPr>
        <w:tab/>
        <w:t>Jméno Příjmení</w:t>
      </w:r>
    </w:p>
    <w:p w14:paraId="30DAB556" w14:textId="77777777" w:rsidR="00131160" w:rsidRPr="0041419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ab/>
        <w:t>místostarosta</w:t>
      </w:r>
      <w:r w:rsidRPr="00414198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516B6D39" w14:textId="77777777" w:rsidR="00131160" w:rsidRPr="0041419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2E17FAF7" w14:textId="77777777" w:rsidR="00CF0B00" w:rsidRPr="00414198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9039C63" w14:textId="77777777" w:rsidR="00131160" w:rsidRPr="00414198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Vyvěšeno na úřední desce dne:</w:t>
      </w:r>
    </w:p>
    <w:p w14:paraId="4A9366D1" w14:textId="77777777" w:rsidR="00A05EA6" w:rsidRPr="00414198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  <w:r w:rsidRPr="00414198">
        <w:rPr>
          <w:rFonts w:asciiTheme="minorHAnsi" w:hAnsiTheme="minorHAnsi" w:cstheme="minorHAnsi"/>
          <w:sz w:val="22"/>
          <w:szCs w:val="22"/>
        </w:rPr>
        <w:t>Sejmuto z úřední desky dne:</w:t>
      </w:r>
    </w:p>
    <w:sectPr w:rsidR="00A05EA6" w:rsidRPr="0041419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AA94" w14:textId="77777777" w:rsidR="00094947" w:rsidRDefault="00094947">
      <w:r>
        <w:separator/>
      </w:r>
    </w:p>
  </w:endnote>
  <w:endnote w:type="continuationSeparator" w:id="0">
    <w:p w14:paraId="0F49E470" w14:textId="77777777" w:rsidR="00094947" w:rsidRDefault="0009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E24C" w14:textId="28B06380" w:rsidR="00C54C28" w:rsidRDefault="002A152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E5E8A4" wp14:editId="3F8798C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2f3b4a658143f92e5b22d7ef" descr="{&quot;HashCode&quot;:102519683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D6DCEC" w14:textId="77F6733E" w:rsidR="002A152A" w:rsidRPr="002A152A" w:rsidRDefault="002A152A" w:rsidP="002A152A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16"/>
                            </w:rPr>
                          </w:pPr>
                          <w:r w:rsidRPr="002A152A">
                            <w:rPr>
                              <w:rFonts w:ascii="Arial" w:hAnsi="Arial" w:cs="Arial"/>
                              <w:color w:val="A6A6A6"/>
                              <w:sz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5E8A4" id="_x0000_t202" coordsize="21600,21600" o:spt="202" path="m,l,21600r21600,l21600,xe">
              <v:stroke joinstyle="miter"/>
              <v:path gradientshapeok="t" o:connecttype="rect"/>
            </v:shapetype>
            <v:shape id="MSIPCM2f3b4a658143f92e5b22d7ef" o:spid="_x0000_s1026" type="#_x0000_t202" alt="{&quot;HashCode&quot;:1025196830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2CD6DCEC" w14:textId="77F6733E" w:rsidR="002A152A" w:rsidRPr="002A152A" w:rsidRDefault="002A152A" w:rsidP="002A152A">
                    <w:pPr>
                      <w:jc w:val="center"/>
                      <w:rPr>
                        <w:rFonts w:ascii="Arial" w:hAnsi="Arial" w:cs="Arial"/>
                        <w:color w:val="A6A6A6"/>
                        <w:sz w:val="16"/>
                      </w:rPr>
                    </w:pPr>
                    <w:r w:rsidRPr="002A152A">
                      <w:rPr>
                        <w:rFonts w:ascii="Arial" w:hAnsi="Arial" w:cs="Arial"/>
                        <w:color w:val="A6A6A6"/>
                        <w:sz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4C28">
      <w:fldChar w:fldCharType="begin"/>
    </w:r>
    <w:r w:rsidR="00C54C28">
      <w:instrText>PAGE   \* MERGEFORMAT</w:instrText>
    </w:r>
    <w:r w:rsidR="00C54C28">
      <w:fldChar w:fldCharType="separate"/>
    </w:r>
    <w:r w:rsidR="00AC1418">
      <w:rPr>
        <w:noProof/>
      </w:rPr>
      <w:t>5</w:t>
    </w:r>
    <w:r w:rsidR="00C54C28">
      <w:fldChar w:fldCharType="end"/>
    </w:r>
  </w:p>
  <w:p w14:paraId="1A0A57F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A9D9" w14:textId="77777777" w:rsidR="00094947" w:rsidRDefault="00094947">
      <w:r>
        <w:separator/>
      </w:r>
    </w:p>
  </w:footnote>
  <w:footnote w:type="continuationSeparator" w:id="0">
    <w:p w14:paraId="2D873A78" w14:textId="77777777" w:rsidR="00094947" w:rsidRDefault="00094947">
      <w:r>
        <w:continuationSeparator/>
      </w:r>
    </w:p>
  </w:footnote>
  <w:footnote w:id="1">
    <w:p w14:paraId="7B91FA4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A3ADC3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F2012C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C7C8D51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1464B6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0C73BF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654E14D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1542E0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575867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8B4ACF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65B8359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FCAD974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0405151B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20757B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EBDF0E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7D0E3A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3BA6DF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221A411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440532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2100602">
    <w:abstractNumId w:val="14"/>
  </w:num>
  <w:num w:numId="2" w16cid:durableId="329648770">
    <w:abstractNumId w:val="7"/>
  </w:num>
  <w:num w:numId="3" w16cid:durableId="254048629">
    <w:abstractNumId w:val="21"/>
  </w:num>
  <w:num w:numId="4" w16cid:durableId="540477324">
    <w:abstractNumId w:val="8"/>
  </w:num>
  <w:num w:numId="5" w16cid:durableId="595485731">
    <w:abstractNumId w:val="5"/>
  </w:num>
  <w:num w:numId="6" w16cid:durableId="1487932885">
    <w:abstractNumId w:val="26"/>
  </w:num>
  <w:num w:numId="7" w16cid:durableId="1670331797">
    <w:abstractNumId w:val="11"/>
  </w:num>
  <w:num w:numId="8" w16cid:durableId="1426339285">
    <w:abstractNumId w:val="12"/>
  </w:num>
  <w:num w:numId="9" w16cid:durableId="1299190423">
    <w:abstractNumId w:val="10"/>
  </w:num>
  <w:num w:numId="10" w16cid:durableId="625544769">
    <w:abstractNumId w:val="0"/>
  </w:num>
  <w:num w:numId="11" w16cid:durableId="691539444">
    <w:abstractNumId w:val="9"/>
  </w:num>
  <w:num w:numId="12" w16cid:durableId="1919634618">
    <w:abstractNumId w:val="6"/>
  </w:num>
  <w:num w:numId="13" w16cid:durableId="2052545">
    <w:abstractNumId w:val="19"/>
  </w:num>
  <w:num w:numId="14" w16cid:durableId="1400054601">
    <w:abstractNumId w:val="25"/>
  </w:num>
  <w:num w:numId="15" w16cid:durableId="4907590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74183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87474">
    <w:abstractNumId w:val="23"/>
  </w:num>
  <w:num w:numId="18" w16cid:durableId="720203298">
    <w:abstractNumId w:val="4"/>
  </w:num>
  <w:num w:numId="19" w16cid:durableId="1367027527">
    <w:abstractNumId w:val="24"/>
  </w:num>
  <w:num w:numId="20" w16cid:durableId="1712924648">
    <w:abstractNumId w:val="16"/>
  </w:num>
  <w:num w:numId="21" w16cid:durableId="50814655">
    <w:abstractNumId w:val="22"/>
  </w:num>
  <w:num w:numId="22" w16cid:durableId="198012430">
    <w:abstractNumId w:val="3"/>
  </w:num>
  <w:num w:numId="23" w16cid:durableId="1270311073">
    <w:abstractNumId w:val="27"/>
  </w:num>
  <w:num w:numId="24" w16cid:durableId="16551379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1901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847800">
    <w:abstractNumId w:val="20"/>
  </w:num>
  <w:num w:numId="27" w16cid:durableId="12195676">
    <w:abstractNumId w:val="18"/>
  </w:num>
  <w:num w:numId="28" w16cid:durableId="1675958375">
    <w:abstractNumId w:val="2"/>
  </w:num>
  <w:num w:numId="29" w16cid:durableId="1862543658">
    <w:abstractNumId w:val="17"/>
  </w:num>
  <w:num w:numId="30" w16cid:durableId="1558471826">
    <w:abstractNumId w:val="1"/>
  </w:num>
  <w:num w:numId="31" w16cid:durableId="365452663">
    <w:abstractNumId w:val="15"/>
  </w:num>
  <w:num w:numId="32" w16cid:durableId="1776266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62A8"/>
    <w:rsid w:val="000345D5"/>
    <w:rsid w:val="000408D0"/>
    <w:rsid w:val="00040EA6"/>
    <w:rsid w:val="000426EB"/>
    <w:rsid w:val="00053356"/>
    <w:rsid w:val="000538DD"/>
    <w:rsid w:val="000566F2"/>
    <w:rsid w:val="00060766"/>
    <w:rsid w:val="0006389A"/>
    <w:rsid w:val="00066D7D"/>
    <w:rsid w:val="00083621"/>
    <w:rsid w:val="000940DC"/>
    <w:rsid w:val="00094947"/>
    <w:rsid w:val="00096E0D"/>
    <w:rsid w:val="000A1E6C"/>
    <w:rsid w:val="000A2391"/>
    <w:rsid w:val="000A3A3B"/>
    <w:rsid w:val="000A53C3"/>
    <w:rsid w:val="000B44A1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55BA4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C25F5"/>
    <w:rsid w:val="001D69CC"/>
    <w:rsid w:val="001D7602"/>
    <w:rsid w:val="001E0628"/>
    <w:rsid w:val="001E0982"/>
    <w:rsid w:val="001E2591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152A"/>
    <w:rsid w:val="002A3A42"/>
    <w:rsid w:val="002C0C5C"/>
    <w:rsid w:val="002C307D"/>
    <w:rsid w:val="002C3721"/>
    <w:rsid w:val="002D1965"/>
    <w:rsid w:val="002D30C0"/>
    <w:rsid w:val="002E0EAD"/>
    <w:rsid w:val="002E1D7F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0BBA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34DD"/>
    <w:rsid w:val="00414198"/>
    <w:rsid w:val="00420423"/>
    <w:rsid w:val="00420943"/>
    <w:rsid w:val="00421292"/>
    <w:rsid w:val="00421C92"/>
    <w:rsid w:val="0042639F"/>
    <w:rsid w:val="0046626F"/>
    <w:rsid w:val="00474813"/>
    <w:rsid w:val="004863D0"/>
    <w:rsid w:val="00490733"/>
    <w:rsid w:val="0049661E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6198"/>
    <w:rsid w:val="005620CD"/>
    <w:rsid w:val="005736D7"/>
    <w:rsid w:val="00576D09"/>
    <w:rsid w:val="00586193"/>
    <w:rsid w:val="005867F5"/>
    <w:rsid w:val="00592FB7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5DCC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35230"/>
    <w:rsid w:val="00743081"/>
    <w:rsid w:val="0074717E"/>
    <w:rsid w:val="00761364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464"/>
    <w:rsid w:val="007A65BA"/>
    <w:rsid w:val="007A6850"/>
    <w:rsid w:val="007B11D2"/>
    <w:rsid w:val="007B1993"/>
    <w:rsid w:val="007C0A75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08DD"/>
    <w:rsid w:val="00880AB8"/>
    <w:rsid w:val="0088615E"/>
    <w:rsid w:val="008863AC"/>
    <w:rsid w:val="00887D0F"/>
    <w:rsid w:val="00893CA0"/>
    <w:rsid w:val="00897430"/>
    <w:rsid w:val="008A2F12"/>
    <w:rsid w:val="008B0A2C"/>
    <w:rsid w:val="008B4FFD"/>
    <w:rsid w:val="008C76A7"/>
    <w:rsid w:val="008D5F22"/>
    <w:rsid w:val="008D6906"/>
    <w:rsid w:val="008D6D36"/>
    <w:rsid w:val="008E43B1"/>
    <w:rsid w:val="008F08CD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5D1"/>
    <w:rsid w:val="009820E8"/>
    <w:rsid w:val="00985BFB"/>
    <w:rsid w:val="00992365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3CAA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0708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B4A95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176E4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4A57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574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D54D84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63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954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Hajek</cp:lastModifiedBy>
  <cp:revision>2</cp:revision>
  <cp:lastPrinted>2015-10-16T08:54:00Z</cp:lastPrinted>
  <dcterms:created xsi:type="dcterms:W3CDTF">2023-02-16T14:13:00Z</dcterms:created>
  <dcterms:modified xsi:type="dcterms:W3CDTF">2023-02-16T14:13:00Z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d034ca-24b7-43db-aeb7-3325b59f2302_Enabled">
    <vt:lpwstr>true</vt:lpwstr>
  </property>
  <property fmtid="{D5CDD505-2E9C-101B-9397-08002B2CF9AE}" pid="3" name="MSIP_Label_ded034ca-24b7-43db-aeb7-3325b59f2302_SetDate">
    <vt:lpwstr>2023-02-16T14:13:33Z</vt:lpwstr>
  </property>
  <property fmtid="{D5CDD505-2E9C-101B-9397-08002B2CF9AE}" pid="4" name="MSIP_Label_ded034ca-24b7-43db-aeb7-3325b59f2302_Method">
    <vt:lpwstr>Standard</vt:lpwstr>
  </property>
  <property fmtid="{D5CDD505-2E9C-101B-9397-08002B2CF9AE}" pid="5" name="MSIP_Label_ded034ca-24b7-43db-aeb7-3325b59f2302_Name">
    <vt:lpwstr>Restricted</vt:lpwstr>
  </property>
  <property fmtid="{D5CDD505-2E9C-101B-9397-08002B2CF9AE}" pid="6" name="MSIP_Label_ded034ca-24b7-43db-aeb7-3325b59f2302_SiteId">
    <vt:lpwstr>bb2da9be-ab20-443b-a93e-baf7506f7433</vt:lpwstr>
  </property>
  <property fmtid="{D5CDD505-2E9C-101B-9397-08002B2CF9AE}" pid="7" name="MSIP_Label_ded034ca-24b7-43db-aeb7-3325b59f2302_ActionId">
    <vt:lpwstr>f69551ac-876a-4895-a9b7-53e06bf9bcb0</vt:lpwstr>
  </property>
  <property fmtid="{D5CDD505-2E9C-101B-9397-08002B2CF9AE}" pid="8" name="MSIP_Label_ded034ca-24b7-43db-aeb7-3325b59f2302_ContentBits">
    <vt:lpwstr>2</vt:lpwstr>
  </property>
</Properties>
</file>