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585B6A" w:rsidTr="007D15F7">
        <w:trPr>
          <w:cantSplit/>
          <w:trHeight w:hRule="exact" w:val="170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585B6A" w:rsidRDefault="00B62FA1" w:rsidP="00D910EC">
            <w:pPr>
              <w:pStyle w:val="Smrnice"/>
              <w:rPr>
                <w:szCs w:val="56"/>
              </w:rPr>
            </w:pPr>
            <w:bookmarkStart w:id="0" w:name="_GoBack"/>
            <w:bookmarkEnd w:id="0"/>
            <w:r>
              <w:rPr>
                <w:szCs w:val="56"/>
              </w:rPr>
              <w:t xml:space="preserve"> </w:t>
            </w:r>
          </w:p>
        </w:tc>
      </w:tr>
      <w:tr w:rsidR="00457D47" w:rsidRPr="00585B6A" w:rsidTr="001B1E3A">
        <w:trPr>
          <w:cantSplit/>
          <w:trHeight w:hRule="exact" w:val="491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C66CBD" w:rsidRPr="00585B6A" w:rsidRDefault="007D15F7" w:rsidP="007D15F7">
            <w:pPr>
              <w:pStyle w:val="Smrnice"/>
            </w:pPr>
            <w:r w:rsidRPr="00585B6A">
              <w:t>Obecně závazná vyhláška</w:t>
            </w:r>
          </w:p>
          <w:p w:rsidR="00457D47" w:rsidRPr="00585B6A" w:rsidRDefault="004476C5" w:rsidP="00253B1C">
            <w:pPr>
              <w:pStyle w:val="Smrnice"/>
            </w:pPr>
            <w:r>
              <w:t xml:space="preserve">Č. </w:t>
            </w:r>
            <w:r w:rsidR="00253B1C">
              <w:t>4</w:t>
            </w:r>
            <w:r w:rsidR="007D15F7" w:rsidRPr="00585B6A">
              <w:t>/20</w:t>
            </w:r>
            <w:r w:rsidR="002708FF">
              <w:t>2</w:t>
            </w:r>
            <w:r w:rsidR="007D15F7" w:rsidRPr="00585B6A">
              <w:t>1</w:t>
            </w:r>
            <w:r w:rsidR="00585B6A" w:rsidRPr="00585B6A">
              <w:t>,</w:t>
            </w:r>
            <w:r w:rsidR="005A5231" w:rsidRPr="00585B6A">
              <w:t xml:space="preserve"> </w:t>
            </w:r>
            <w:r w:rsidR="00B76698">
              <w:t xml:space="preserve">KTERÁ STANOVÍ OBECNÍ SYSTÉM ODPADOVÉHO HOSPODÁŘSTVÍ </w:t>
            </w:r>
            <w:r w:rsidR="00C66CBD" w:rsidRPr="00585B6A">
              <w:t>n</w:t>
            </w:r>
            <w:r w:rsidR="002E6E6D" w:rsidRPr="00585B6A">
              <w:t>a území Statutárního města Opav</w:t>
            </w:r>
            <w:r w:rsidR="000D64CF">
              <w:t>y</w:t>
            </w:r>
          </w:p>
        </w:tc>
      </w:tr>
      <w:tr w:rsidR="00457D47" w:rsidRPr="00585B6A" w:rsidTr="001B1E3A">
        <w:trPr>
          <w:cantSplit/>
          <w:trHeight w:hRule="exact" w:val="68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prav"/>
            </w:pPr>
          </w:p>
        </w:tc>
      </w:tr>
      <w:tr w:rsidR="00457D47" w:rsidRPr="00585B6A" w:rsidTr="00D910EC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254BDB" w:rsidP="00254BDB">
            <w:pPr>
              <w:pStyle w:val="stranaprav"/>
              <w:numPr>
                <w:ilvl w:val="0"/>
                <w:numId w:val="37"/>
              </w:numPr>
            </w:pPr>
            <w:r>
              <w:t>0</w:t>
            </w:r>
            <w:r w:rsidR="00B76698">
              <w:t>1.</w:t>
            </w:r>
            <w:r>
              <w:t xml:space="preserve"> </w:t>
            </w:r>
            <w:r w:rsidR="00B76698">
              <w:t>202</w:t>
            </w:r>
            <w:r>
              <w:t>2</w:t>
            </w:r>
          </w:p>
        </w:tc>
      </w:tr>
      <w:tr w:rsidR="00457D47" w:rsidRPr="00585B6A" w:rsidTr="00D910EC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prav"/>
            </w:pPr>
          </w:p>
        </w:tc>
      </w:tr>
      <w:tr w:rsidR="00457D47" w:rsidRPr="00585B6A" w:rsidTr="00D910EC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C66CBD" w:rsidP="00B62FA1">
            <w:pPr>
              <w:pStyle w:val="stranaprav"/>
            </w:pPr>
            <w:r w:rsidRPr="00585B6A">
              <w:t>Fyzickým osobám</w:t>
            </w:r>
            <w:r w:rsidR="00B62FA1">
              <w:t>,</w:t>
            </w:r>
            <w:r w:rsidRPr="00DE3C3E">
              <w:rPr>
                <w:color w:val="FF0000"/>
              </w:rPr>
              <w:t xml:space="preserve"> </w:t>
            </w:r>
            <w:r w:rsidRPr="00B62FA1">
              <w:t>vlastníkům nemovitostí určených k bydlení</w:t>
            </w:r>
          </w:p>
        </w:tc>
      </w:tr>
      <w:tr w:rsidR="00457D47" w:rsidRPr="00585B6A" w:rsidTr="00C66CBD">
        <w:trPr>
          <w:cantSplit/>
          <w:trHeight w:hRule="exact" w:val="1248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C66CBD" w:rsidP="008E232C">
            <w:pPr>
              <w:pStyle w:val="stranaprav"/>
            </w:pPr>
            <w:r w:rsidRPr="00585B6A">
              <w:t>Obecně závazn</w:t>
            </w:r>
            <w:r w:rsidR="002E6E6D" w:rsidRPr="00585B6A">
              <w:t>á</w:t>
            </w:r>
            <w:r w:rsidRPr="00585B6A">
              <w:t xml:space="preserve"> vyhlášk</w:t>
            </w:r>
            <w:r w:rsidR="002E6E6D" w:rsidRPr="00585B6A">
              <w:t>a</w:t>
            </w:r>
            <w:r w:rsidRPr="00585B6A">
              <w:t xml:space="preserve"> statu</w:t>
            </w:r>
            <w:r w:rsidR="009746FF" w:rsidRPr="00585B6A">
              <w:t>tárního města Opav</w:t>
            </w:r>
            <w:r w:rsidR="002E6E6D" w:rsidRPr="00585B6A">
              <w:t>a</w:t>
            </w:r>
            <w:r w:rsidR="009746FF" w:rsidRPr="00585B6A">
              <w:t xml:space="preserve"> č.</w:t>
            </w:r>
            <w:r w:rsidR="008E232C">
              <w:t xml:space="preserve"> 9/2018</w:t>
            </w:r>
            <w:r w:rsidR="009746FF" w:rsidRPr="00585B6A">
              <w:t>, o </w:t>
            </w:r>
            <w:r w:rsidRPr="00585B6A">
              <w:t>systému shromažďování, sběru,</w:t>
            </w:r>
            <w:r w:rsidR="009746FF" w:rsidRPr="00585B6A">
              <w:t xml:space="preserve"> přepravy, třídění, využívání a </w:t>
            </w:r>
            <w:r w:rsidRPr="00585B6A">
              <w:t>odstraňování komunálního odp</w:t>
            </w:r>
            <w:r w:rsidR="009746FF" w:rsidRPr="00585B6A">
              <w:t>adu včetně systému nakládání se </w:t>
            </w:r>
            <w:r w:rsidRPr="00585B6A">
              <w:t>stavebním odpadem na území statutárního města Opav</w:t>
            </w:r>
            <w:r w:rsidR="002E6E6D" w:rsidRPr="00585B6A">
              <w:t>a</w:t>
            </w:r>
          </w:p>
        </w:tc>
      </w:tr>
      <w:tr w:rsidR="00457D47" w:rsidRPr="00585B6A" w:rsidTr="00D910EC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457D47" w:rsidP="00D910EC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C66CBD" w:rsidP="00D910EC">
            <w:pPr>
              <w:pStyle w:val="stranaprav"/>
            </w:pPr>
            <w:r w:rsidRPr="00585B6A">
              <w:t>Ing. Albert Červeň</w:t>
            </w:r>
          </w:p>
        </w:tc>
      </w:tr>
      <w:tr w:rsidR="00457D47" w:rsidRPr="00585B6A" w:rsidTr="00D910EC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85B6A" w:rsidRDefault="000F42E0" w:rsidP="000F42E0">
            <w:pPr>
              <w:pStyle w:val="stranalev"/>
              <w:rPr>
                <w:b w:val="0"/>
              </w:rPr>
            </w:pPr>
            <w:r w:rsidRPr="00585B6A">
              <w:rPr>
                <w:b w:val="0"/>
              </w:rPr>
              <w:t xml:space="preserve">Název odboru </w:t>
            </w:r>
            <w:r w:rsidR="00457D47" w:rsidRPr="00585B6A">
              <w:rPr>
                <w:b w:val="0"/>
              </w:rPr>
              <w:t>zpracovatele: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85B6A" w:rsidRDefault="002E6E6D" w:rsidP="00D910EC">
            <w:pPr>
              <w:pStyle w:val="stranaprav"/>
            </w:pPr>
            <w:r w:rsidRPr="00585B6A">
              <w:t>o</w:t>
            </w:r>
            <w:r w:rsidR="00C66CBD" w:rsidRPr="00585B6A">
              <w:t>dbor životního prostředí Magistrátu města Opav</w:t>
            </w:r>
            <w:r w:rsidRPr="00585B6A">
              <w:t>a</w:t>
            </w:r>
          </w:p>
        </w:tc>
      </w:tr>
    </w:tbl>
    <w:p w:rsidR="00022C2A" w:rsidRDefault="00022C2A" w:rsidP="00022C2A"/>
    <w:p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:rsidR="00253B1C" w:rsidRPr="00F95518" w:rsidRDefault="002C2903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253B1C">
        <w:rPr>
          <w:noProof/>
        </w:rPr>
        <w:t>Úvodní ustanovení</w:t>
      </w:r>
      <w:r w:rsidR="00253B1C">
        <w:rPr>
          <w:noProof/>
        </w:rPr>
        <w:tab/>
      </w:r>
      <w:r w:rsidR="00253B1C">
        <w:rPr>
          <w:noProof/>
        </w:rPr>
        <w:fldChar w:fldCharType="begin"/>
      </w:r>
      <w:r w:rsidR="00253B1C">
        <w:rPr>
          <w:noProof/>
        </w:rPr>
        <w:instrText xml:space="preserve"> PAGEREF _Toc89859798 \h </w:instrText>
      </w:r>
      <w:r w:rsidR="00253B1C">
        <w:rPr>
          <w:noProof/>
        </w:rPr>
      </w:r>
      <w:r w:rsidR="00253B1C">
        <w:rPr>
          <w:noProof/>
        </w:rPr>
        <w:fldChar w:fldCharType="separate"/>
      </w:r>
      <w:r w:rsidR="00253B1C">
        <w:rPr>
          <w:noProof/>
        </w:rPr>
        <w:t>3</w:t>
      </w:r>
      <w:r w:rsidR="00253B1C">
        <w:rPr>
          <w:noProof/>
        </w:rPr>
        <w:fldChar w:fldCharType="end"/>
      </w:r>
    </w:p>
    <w:p w:rsidR="00253B1C" w:rsidRPr="00F95518" w:rsidRDefault="00253B1C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Třídění komunálního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_Toc89859799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53B1C" w:rsidRPr="00F95518" w:rsidRDefault="00253B1C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 w:rsidRPr="002517DD">
        <w:rPr>
          <w:rFonts w:cs="Arial"/>
          <w:bCs/>
          <w:noProof/>
        </w:rPr>
        <w:t>S</w:t>
      </w:r>
      <w:r w:rsidRPr="002517DD">
        <w:rPr>
          <w:rFonts w:ascii="Arial-BoldMT" w:hAnsi="Arial-BoldMT" w:cs="Arial-BoldMT"/>
          <w:bCs/>
          <w:noProof/>
          <w:color w:val="000000"/>
        </w:rPr>
        <w:t>oustřeďování papíru, nápojového kartonu, plastů, skla, kovů, biologického odpadu rostlinného původu, jedlých olejů a tuků, textilu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_Toc89859800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53B1C" w:rsidRPr="00F95518" w:rsidRDefault="00253B1C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rFonts w:eastAsia="Times New Roman" w:cs="Arial"/>
          <w:noProof/>
          <w:lang w:eastAsia="cs-CZ"/>
        </w:rPr>
        <w:t>Sběr n</w:t>
      </w:r>
      <w:r w:rsidRPr="00253B1C">
        <w:rPr>
          <w:rFonts w:eastAsia="Times New Roman" w:cs="Arial"/>
          <w:noProof/>
          <w:lang w:eastAsia="cs-CZ"/>
        </w:rPr>
        <w:t>ebezpečných složek komunálního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_Toc89859801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53B1C" w:rsidRPr="00F95518" w:rsidRDefault="00253B1C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Sběr objemného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_Toc89859802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53B1C" w:rsidRPr="00F95518" w:rsidRDefault="00253B1C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Shromažďování směsného komunálního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_Toc89859803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53B1C" w:rsidRPr="00F95518" w:rsidRDefault="00253B1C" w:rsidP="00253B1C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 xml:space="preserve">Nakládání s výrobky s ukončenou životností v rámci služby pro výrobce </w:t>
      </w:r>
      <w:r w:rsidRPr="00253B1C">
        <w:rPr>
          <w:noProof/>
        </w:rPr>
        <w:t>(zpětný odběr)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_Toc89859804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53B1C" w:rsidRPr="00F95518" w:rsidRDefault="00253B1C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Nakládání se stavebním odpadem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_Toc89859805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53B1C" w:rsidRPr="00F95518" w:rsidRDefault="00253B1C">
      <w:pPr>
        <w:pStyle w:val="Obsah3"/>
        <w:rPr>
          <w:rFonts w:ascii="Calibri" w:eastAsia="Times New Roman" w:hAnsi="Calibri"/>
          <w:noProof/>
          <w:sz w:val="22"/>
          <w:szCs w:val="22"/>
          <w:lang w:eastAsia="cs-CZ"/>
        </w:rPr>
      </w:pPr>
      <w:r>
        <w:rPr>
          <w:noProof/>
        </w:rPr>
        <w:t>Závěrečná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_Toc89859807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005C1" w:rsidRDefault="002C2903" w:rsidP="00A048ED">
      <w:r>
        <w:fldChar w:fldCharType="end"/>
      </w:r>
    </w:p>
    <w:p w:rsidR="007D15F7" w:rsidRDefault="007D15F7" w:rsidP="00C75A5C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Pr="007D15F7" w:rsidRDefault="007D15F7" w:rsidP="007D15F7"/>
    <w:p w:rsidR="007D15F7" w:rsidRDefault="007D15F7" w:rsidP="007D15F7"/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7D15F7" w:rsidRDefault="007D15F7" w:rsidP="007D15F7">
      <w:pPr>
        <w:jc w:val="center"/>
      </w:pPr>
    </w:p>
    <w:p w:rsidR="00D05303" w:rsidRPr="00D05303" w:rsidRDefault="00D05303" w:rsidP="00585B6A">
      <w:pPr>
        <w:pStyle w:val="lnekText"/>
        <w:numPr>
          <w:ilvl w:val="0"/>
          <w:numId w:val="0"/>
        </w:numPr>
        <w:jc w:val="both"/>
        <w:rPr>
          <w:rFonts w:cs="Arial"/>
          <w:szCs w:val="20"/>
        </w:rPr>
      </w:pPr>
      <w:r w:rsidRPr="00D05303">
        <w:rPr>
          <w:rFonts w:cs="Arial"/>
          <w:szCs w:val="20"/>
        </w:rPr>
        <w:lastRenderedPageBreak/>
        <w:t xml:space="preserve">Zastupitelstvo </w:t>
      </w:r>
      <w:r w:rsidR="002E6E6D">
        <w:rPr>
          <w:rFonts w:cs="Arial"/>
          <w:szCs w:val="20"/>
        </w:rPr>
        <w:t>s</w:t>
      </w:r>
      <w:r w:rsidRPr="00D05303">
        <w:rPr>
          <w:rFonts w:cs="Arial"/>
          <w:szCs w:val="20"/>
        </w:rPr>
        <w:t>tatutárního města Opav</w:t>
      </w:r>
      <w:r w:rsidR="00B62FA1">
        <w:rPr>
          <w:rFonts w:cs="Arial"/>
          <w:szCs w:val="20"/>
        </w:rPr>
        <w:t>y</w:t>
      </w:r>
      <w:r w:rsidR="004476C5">
        <w:rPr>
          <w:rFonts w:cs="Arial"/>
          <w:szCs w:val="20"/>
        </w:rPr>
        <w:t xml:space="preserve"> se na svém zasedání dne </w:t>
      </w:r>
      <w:r w:rsidR="00254BDB">
        <w:rPr>
          <w:rFonts w:cs="Arial"/>
          <w:szCs w:val="20"/>
        </w:rPr>
        <w:t>06</w:t>
      </w:r>
      <w:r w:rsidR="004476C5">
        <w:rPr>
          <w:rFonts w:cs="Arial"/>
          <w:szCs w:val="20"/>
        </w:rPr>
        <w:t>.</w:t>
      </w:r>
      <w:r w:rsidR="00254BDB">
        <w:rPr>
          <w:rFonts w:cs="Arial"/>
          <w:szCs w:val="20"/>
        </w:rPr>
        <w:t xml:space="preserve"> 12</w:t>
      </w:r>
      <w:r w:rsidR="004476C5">
        <w:rPr>
          <w:rFonts w:cs="Arial"/>
          <w:szCs w:val="20"/>
        </w:rPr>
        <w:t>.</w:t>
      </w:r>
      <w:r w:rsidR="002516E9">
        <w:rPr>
          <w:rFonts w:cs="Arial"/>
          <w:szCs w:val="20"/>
        </w:rPr>
        <w:t xml:space="preserve"> </w:t>
      </w:r>
      <w:r w:rsidR="004476C5">
        <w:rPr>
          <w:rFonts w:cs="Arial"/>
          <w:szCs w:val="20"/>
        </w:rPr>
        <w:t>20</w:t>
      </w:r>
      <w:r w:rsidR="00B76698">
        <w:rPr>
          <w:rFonts w:cs="Arial"/>
          <w:szCs w:val="20"/>
        </w:rPr>
        <w:t>2</w:t>
      </w:r>
      <w:r w:rsidR="004476C5">
        <w:rPr>
          <w:rFonts w:cs="Arial"/>
          <w:szCs w:val="20"/>
        </w:rPr>
        <w:t>1</w:t>
      </w:r>
      <w:r w:rsidRPr="00D05303">
        <w:rPr>
          <w:rFonts w:cs="Arial"/>
          <w:szCs w:val="20"/>
        </w:rPr>
        <w:t xml:space="preserve"> usnesením č.</w:t>
      </w:r>
      <w:r w:rsidR="004476C5">
        <w:rPr>
          <w:rFonts w:cs="Arial"/>
          <w:szCs w:val="20"/>
        </w:rPr>
        <w:t xml:space="preserve"> </w:t>
      </w:r>
      <w:r w:rsidR="00253B1C">
        <w:rPr>
          <w:rFonts w:cs="Arial"/>
          <w:szCs w:val="20"/>
        </w:rPr>
        <w:t>761</w:t>
      </w:r>
      <w:r w:rsidRPr="00D05303">
        <w:rPr>
          <w:rFonts w:cs="Arial"/>
          <w:szCs w:val="20"/>
        </w:rPr>
        <w:t>/</w:t>
      </w:r>
      <w:r w:rsidR="00253B1C">
        <w:rPr>
          <w:rFonts w:cs="Arial"/>
          <w:szCs w:val="20"/>
        </w:rPr>
        <w:t>20/</w:t>
      </w:r>
      <w:r w:rsidRPr="00D05303">
        <w:rPr>
          <w:rFonts w:cs="Arial"/>
          <w:szCs w:val="20"/>
        </w:rPr>
        <w:t>ZM</w:t>
      </w:r>
      <w:r w:rsidR="00253B1C">
        <w:rPr>
          <w:rFonts w:cs="Arial"/>
          <w:szCs w:val="20"/>
        </w:rPr>
        <w:t>/21</w:t>
      </w:r>
      <w:r w:rsidR="00A534E0" w:rsidRPr="00D05303">
        <w:rPr>
          <w:rFonts w:cs="Arial"/>
          <w:szCs w:val="20"/>
        </w:rPr>
        <w:t xml:space="preserve"> usneslo</w:t>
      </w:r>
      <w:r w:rsidRPr="00D05303">
        <w:rPr>
          <w:rFonts w:cs="Arial"/>
          <w:szCs w:val="20"/>
        </w:rPr>
        <w:t xml:space="preserve"> vydat na základě § </w:t>
      </w:r>
      <w:r w:rsidR="003006D0">
        <w:rPr>
          <w:rFonts w:cs="Arial"/>
          <w:szCs w:val="20"/>
        </w:rPr>
        <w:t>59</w:t>
      </w:r>
      <w:r w:rsidRPr="00D05303">
        <w:rPr>
          <w:rFonts w:cs="Arial"/>
          <w:szCs w:val="20"/>
        </w:rPr>
        <w:t xml:space="preserve"> odst. </w:t>
      </w:r>
      <w:r w:rsidR="003006D0">
        <w:rPr>
          <w:rFonts w:cs="Arial"/>
          <w:szCs w:val="20"/>
        </w:rPr>
        <w:t>4</w:t>
      </w:r>
      <w:r w:rsidRPr="00D05303">
        <w:rPr>
          <w:rFonts w:cs="Arial"/>
          <w:szCs w:val="20"/>
        </w:rPr>
        <w:t xml:space="preserve"> zákona č. </w:t>
      </w:r>
      <w:r w:rsidR="003006D0">
        <w:rPr>
          <w:rFonts w:cs="Arial"/>
          <w:szCs w:val="20"/>
        </w:rPr>
        <w:t>541</w:t>
      </w:r>
      <w:r w:rsidRPr="00D05303">
        <w:rPr>
          <w:rFonts w:cs="Arial"/>
          <w:szCs w:val="20"/>
        </w:rPr>
        <w:t>/20</w:t>
      </w:r>
      <w:r w:rsidR="003006D0">
        <w:rPr>
          <w:rFonts w:cs="Arial"/>
          <w:szCs w:val="20"/>
        </w:rPr>
        <w:t>20</w:t>
      </w:r>
      <w:r w:rsidRPr="00D05303">
        <w:rPr>
          <w:rFonts w:cs="Arial"/>
          <w:szCs w:val="20"/>
        </w:rPr>
        <w:t xml:space="preserve"> Sb., o odpadech (dále jen „zákon o odpadech“), </w:t>
      </w:r>
      <w:r w:rsidR="00253B1C">
        <w:rPr>
          <w:rFonts w:cs="Arial"/>
          <w:szCs w:val="20"/>
        </w:rPr>
        <w:br/>
      </w:r>
      <w:r w:rsidR="00CE42E7">
        <w:rPr>
          <w:rFonts w:cs="Arial"/>
          <w:szCs w:val="20"/>
        </w:rPr>
        <w:t>a v souladu s § 10 písm. d) a § </w:t>
      </w:r>
      <w:r w:rsidRPr="00D05303">
        <w:rPr>
          <w:rFonts w:cs="Arial"/>
          <w:szCs w:val="20"/>
        </w:rPr>
        <w:t>84 odst. 2 písm. h) zákona č. 128/2000 Sb., o obcích (obecní zřízení), ve znění pozdějších předpisů tuto obecně závaznou vyhlášku</w:t>
      </w:r>
      <w:r w:rsidR="003006D0">
        <w:rPr>
          <w:rFonts w:cs="Arial"/>
          <w:szCs w:val="20"/>
        </w:rPr>
        <w:t xml:space="preserve"> </w:t>
      </w:r>
      <w:r w:rsidR="003006D0" w:rsidRPr="003006D0">
        <w:rPr>
          <w:rFonts w:cs="Arial"/>
          <w:szCs w:val="20"/>
        </w:rPr>
        <w:t>(dále jen „vyhláška“)</w:t>
      </w:r>
      <w:r w:rsidRPr="00D05303">
        <w:rPr>
          <w:rFonts w:cs="Arial"/>
          <w:szCs w:val="20"/>
        </w:rPr>
        <w:t>:</w:t>
      </w:r>
    </w:p>
    <w:p w:rsidR="00C75A5C" w:rsidRDefault="00C75A5C" w:rsidP="00C75A5C">
      <w:pPr>
        <w:pStyle w:val="lnekNadpis"/>
      </w:pPr>
    </w:p>
    <w:p w:rsidR="002778FC" w:rsidRDefault="00D05303" w:rsidP="002C2903">
      <w:pPr>
        <w:pStyle w:val="lnekNzev"/>
      </w:pPr>
      <w:bookmarkStart w:id="1" w:name="_Toc241659020"/>
      <w:bookmarkStart w:id="2" w:name="_Toc89859798"/>
      <w:r w:rsidRPr="00D05303">
        <w:t>Úvodní ustanovení</w:t>
      </w:r>
      <w:bookmarkEnd w:id="1"/>
      <w:bookmarkEnd w:id="2"/>
    </w:p>
    <w:p w:rsidR="003006D0" w:rsidRPr="003006D0" w:rsidRDefault="003006D0" w:rsidP="00B62FA1">
      <w:pPr>
        <w:numPr>
          <w:ilvl w:val="0"/>
          <w:numId w:val="20"/>
        </w:numPr>
        <w:jc w:val="both"/>
        <w:rPr>
          <w:rFonts w:cs="Arial"/>
          <w:szCs w:val="20"/>
        </w:rPr>
      </w:pPr>
      <w:r w:rsidRPr="008451BF">
        <w:t xml:space="preserve">Touto obecně závaznou vyhláškou je stanoven </w:t>
      </w:r>
      <w:r w:rsidRPr="003006D0">
        <w:t xml:space="preserve">obecní systém odpadového hospodářství </w:t>
      </w:r>
      <w:r w:rsidR="009229C0">
        <w:t xml:space="preserve">při činnosti nepodnikajících fyzických osob </w:t>
      </w:r>
      <w:r w:rsidRPr="008451BF">
        <w:t xml:space="preserve">na území </w:t>
      </w:r>
      <w:r>
        <w:t>s</w:t>
      </w:r>
      <w:r w:rsidRPr="008451BF">
        <w:t>tatutárního města Opav</w:t>
      </w:r>
      <w:r w:rsidR="00B62FA1">
        <w:t>y</w:t>
      </w:r>
      <w:r w:rsidRPr="008451BF">
        <w:t>.</w:t>
      </w:r>
    </w:p>
    <w:p w:rsidR="003006D0" w:rsidRPr="003006D0" w:rsidRDefault="003006D0" w:rsidP="00B62FA1">
      <w:pPr>
        <w:numPr>
          <w:ilvl w:val="0"/>
          <w:numId w:val="20"/>
        </w:numPr>
        <w:jc w:val="both"/>
        <w:rPr>
          <w:rFonts w:cs="Arial"/>
          <w:szCs w:val="20"/>
        </w:rPr>
      </w:pPr>
      <w:r w:rsidRPr="003006D0">
        <w:rPr>
          <w:rFonts w:cs="Arial"/>
          <w:szCs w:val="20"/>
        </w:rPr>
        <w:t xml:space="preserve">Každý je povinen odpad nebo movitou věc, které předává do obecního systému, odkládat na místa </w:t>
      </w:r>
      <w:r w:rsidR="00B62FA1">
        <w:rPr>
          <w:rFonts w:cs="Arial"/>
          <w:szCs w:val="20"/>
        </w:rPr>
        <w:t xml:space="preserve">k tomu </w:t>
      </w:r>
      <w:r w:rsidRPr="003006D0">
        <w:rPr>
          <w:rFonts w:cs="Arial"/>
          <w:szCs w:val="20"/>
        </w:rPr>
        <w:t>určená v souladu s povinnostmi stanovenými pro daný druh, kategorii nebo</w:t>
      </w:r>
      <w:r>
        <w:rPr>
          <w:rFonts w:cs="Arial"/>
          <w:szCs w:val="20"/>
        </w:rPr>
        <w:t xml:space="preserve"> </w:t>
      </w:r>
      <w:r w:rsidRPr="003006D0">
        <w:rPr>
          <w:rFonts w:cs="Arial"/>
          <w:szCs w:val="20"/>
        </w:rPr>
        <w:t>materiál odpadu nebo movitých věcí zákonem o odpadech a touto vyhláškou</w:t>
      </w:r>
      <w:r w:rsidR="00B62FA1">
        <w:rPr>
          <w:rStyle w:val="Znakapoznpodarou"/>
          <w:rFonts w:cs="Arial"/>
          <w:szCs w:val="20"/>
        </w:rPr>
        <w:footnoteReference w:id="1"/>
      </w:r>
      <w:r w:rsidRPr="003006D0">
        <w:rPr>
          <w:rFonts w:cs="Arial"/>
          <w:szCs w:val="20"/>
        </w:rPr>
        <w:t>.</w:t>
      </w:r>
    </w:p>
    <w:p w:rsidR="003006D0" w:rsidRPr="00B358F8" w:rsidRDefault="003006D0" w:rsidP="00B62FA1">
      <w:pPr>
        <w:numPr>
          <w:ilvl w:val="0"/>
          <w:numId w:val="20"/>
        </w:numPr>
        <w:jc w:val="both"/>
        <w:rPr>
          <w:rFonts w:cs="Arial"/>
          <w:szCs w:val="20"/>
        </w:rPr>
      </w:pPr>
      <w:r w:rsidRPr="00B358F8">
        <w:rPr>
          <w:rFonts w:cs="Arial"/>
          <w:szCs w:val="20"/>
        </w:rPr>
        <w:t>V okamžiku, kdy osoba zapojená do obecního systému</w:t>
      </w:r>
      <w:r w:rsidR="00B62FA1">
        <w:rPr>
          <w:rFonts w:cs="Arial"/>
          <w:szCs w:val="20"/>
        </w:rPr>
        <w:t xml:space="preserve"> odpadového hospodářství</w:t>
      </w:r>
      <w:r w:rsidRPr="00B358F8">
        <w:rPr>
          <w:rFonts w:cs="Arial"/>
          <w:szCs w:val="20"/>
        </w:rPr>
        <w:t xml:space="preserve"> odloží movitou věc nebo odpad,</w:t>
      </w:r>
      <w:r w:rsidR="00B358F8" w:rsidRPr="00B358F8">
        <w:rPr>
          <w:rFonts w:cs="Arial"/>
          <w:szCs w:val="20"/>
        </w:rPr>
        <w:t xml:space="preserve"> </w:t>
      </w:r>
      <w:r w:rsidRPr="00B358F8">
        <w:rPr>
          <w:rFonts w:cs="Arial"/>
          <w:szCs w:val="20"/>
        </w:rPr>
        <w:t xml:space="preserve">s výjimkou výrobků s ukončenou životností, na místě </w:t>
      </w:r>
      <w:r w:rsidR="00027F73">
        <w:rPr>
          <w:rFonts w:cs="Arial"/>
          <w:szCs w:val="20"/>
        </w:rPr>
        <w:t>městem</w:t>
      </w:r>
      <w:r w:rsidR="00027F73" w:rsidRPr="00B358F8">
        <w:rPr>
          <w:rFonts w:cs="Arial"/>
          <w:szCs w:val="20"/>
        </w:rPr>
        <w:t xml:space="preserve"> </w:t>
      </w:r>
      <w:r w:rsidRPr="00B358F8">
        <w:rPr>
          <w:rFonts w:cs="Arial"/>
          <w:szCs w:val="20"/>
        </w:rPr>
        <w:t>k tomuto účelu určeném, stává se</w:t>
      </w:r>
      <w:r w:rsidR="00B358F8">
        <w:rPr>
          <w:rFonts w:cs="Arial"/>
          <w:szCs w:val="20"/>
        </w:rPr>
        <w:t xml:space="preserve"> </w:t>
      </w:r>
      <w:r w:rsidR="00027F73">
        <w:rPr>
          <w:rFonts w:cs="Arial"/>
          <w:szCs w:val="20"/>
        </w:rPr>
        <w:t>město</w:t>
      </w:r>
      <w:r w:rsidRPr="00B358F8">
        <w:rPr>
          <w:rFonts w:cs="Arial"/>
          <w:szCs w:val="20"/>
        </w:rPr>
        <w:t xml:space="preserve"> vlastníkem této movité věci nebo odpadu</w:t>
      </w:r>
      <w:r w:rsidR="00B62FA1">
        <w:rPr>
          <w:rStyle w:val="Znakapoznpodarou"/>
          <w:rFonts w:cs="Arial"/>
          <w:szCs w:val="20"/>
        </w:rPr>
        <w:footnoteReference w:id="2"/>
      </w:r>
      <w:r w:rsidRPr="00B358F8">
        <w:rPr>
          <w:rFonts w:cs="Arial"/>
          <w:szCs w:val="20"/>
        </w:rPr>
        <w:t>.</w:t>
      </w:r>
    </w:p>
    <w:p w:rsidR="003006D0" w:rsidRPr="00B358F8" w:rsidRDefault="003006D0" w:rsidP="00027F73">
      <w:pPr>
        <w:numPr>
          <w:ilvl w:val="0"/>
          <w:numId w:val="20"/>
        </w:numPr>
        <w:jc w:val="both"/>
        <w:rPr>
          <w:rFonts w:cs="Arial"/>
          <w:szCs w:val="20"/>
        </w:rPr>
      </w:pPr>
      <w:r w:rsidRPr="00B358F8">
        <w:rPr>
          <w:rFonts w:cs="Arial"/>
          <w:szCs w:val="20"/>
        </w:rPr>
        <w:t>Stanoviště sběrných nádob</w:t>
      </w:r>
      <w:r w:rsidR="00027F73" w:rsidRPr="00027F73">
        <w:rPr>
          <w:rFonts w:cs="Arial"/>
          <w:szCs w:val="20"/>
        </w:rPr>
        <w:t>, případně barevných pytlů</w:t>
      </w:r>
      <w:r w:rsidR="0093730E">
        <w:rPr>
          <w:rFonts w:cs="Arial"/>
          <w:szCs w:val="20"/>
        </w:rPr>
        <w:t>,</w:t>
      </w:r>
      <w:r w:rsidRPr="00B358F8">
        <w:rPr>
          <w:rFonts w:cs="Arial"/>
          <w:szCs w:val="20"/>
        </w:rPr>
        <w:t xml:space="preserve"> </w:t>
      </w:r>
      <w:r w:rsidR="00027F73">
        <w:rPr>
          <w:rFonts w:cs="Arial"/>
          <w:szCs w:val="20"/>
        </w:rPr>
        <w:t xml:space="preserve">určených ke sběru vyjmenovaných odpadů </w:t>
      </w:r>
      <w:r w:rsidRPr="00B358F8">
        <w:rPr>
          <w:rFonts w:cs="Arial"/>
          <w:szCs w:val="20"/>
        </w:rPr>
        <w:t>je místo, kde jsou sběrné nádoby trvale nebo přechodně</w:t>
      </w:r>
      <w:r w:rsidR="00B358F8" w:rsidRPr="00B358F8">
        <w:rPr>
          <w:rFonts w:cs="Arial"/>
          <w:szCs w:val="20"/>
        </w:rPr>
        <w:t xml:space="preserve"> </w:t>
      </w:r>
      <w:r w:rsidRPr="00B358F8">
        <w:rPr>
          <w:rFonts w:cs="Arial"/>
          <w:szCs w:val="20"/>
        </w:rPr>
        <w:t>umístěny za účelem dalšího nakládání se směsným komunálním odpadem. Stanoviště</w:t>
      </w:r>
      <w:r w:rsidR="00B358F8">
        <w:rPr>
          <w:rFonts w:cs="Arial"/>
          <w:szCs w:val="20"/>
        </w:rPr>
        <w:t xml:space="preserve"> </w:t>
      </w:r>
      <w:r w:rsidRPr="00B358F8">
        <w:rPr>
          <w:rFonts w:cs="Arial"/>
          <w:szCs w:val="20"/>
        </w:rPr>
        <w:t>sběrných nádob jsou individuální nebo společná pro více uživatelů.</w:t>
      </w:r>
    </w:p>
    <w:p w:rsidR="003006D0" w:rsidRPr="00304A8D" w:rsidRDefault="003006D0" w:rsidP="00B62FA1">
      <w:pPr>
        <w:tabs>
          <w:tab w:val="left" w:pos="426"/>
        </w:tabs>
        <w:rPr>
          <w:rFonts w:cs="Arial"/>
          <w:i/>
          <w:iCs/>
          <w:sz w:val="12"/>
          <w:szCs w:val="12"/>
        </w:rPr>
      </w:pPr>
      <w:r w:rsidRPr="003006D0">
        <w:rPr>
          <w:rFonts w:cs="Arial"/>
          <w:szCs w:val="20"/>
        </w:rPr>
        <w:t xml:space="preserve"> </w:t>
      </w:r>
      <w:r w:rsidR="00B358F8">
        <w:rPr>
          <w:rFonts w:cs="Arial"/>
          <w:szCs w:val="20"/>
        </w:rPr>
        <w:tab/>
      </w:r>
      <w:r w:rsidRPr="003006D0">
        <w:rPr>
          <w:rFonts w:cs="Arial"/>
          <w:szCs w:val="20"/>
        </w:rPr>
        <w:t xml:space="preserve"> </w:t>
      </w:r>
      <w:r w:rsidR="00B358F8">
        <w:rPr>
          <w:rFonts w:cs="Arial"/>
          <w:szCs w:val="20"/>
        </w:rPr>
        <w:tab/>
      </w:r>
    </w:p>
    <w:p w:rsidR="00462C1B" w:rsidRDefault="00462C1B" w:rsidP="00462C1B">
      <w:pPr>
        <w:pStyle w:val="lnekNadpis"/>
      </w:pPr>
    </w:p>
    <w:p w:rsidR="00462C1B" w:rsidRDefault="0045400B" w:rsidP="00462C1B">
      <w:pPr>
        <w:pStyle w:val="lnekNzev"/>
      </w:pPr>
      <w:bookmarkStart w:id="3" w:name="_Toc241659021"/>
      <w:bookmarkStart w:id="4" w:name="_Toc89859799"/>
      <w:r w:rsidRPr="0045400B">
        <w:t>Třídění komunálního odpadu</w:t>
      </w:r>
      <w:bookmarkEnd w:id="3"/>
      <w:bookmarkEnd w:id="4"/>
    </w:p>
    <w:p w:rsidR="0045400B" w:rsidRPr="003441C1" w:rsidRDefault="0045400B" w:rsidP="0072460C">
      <w:pPr>
        <w:numPr>
          <w:ilvl w:val="0"/>
          <w:numId w:val="34"/>
        </w:numPr>
        <w:rPr>
          <w:rFonts w:cs="Arial"/>
          <w:szCs w:val="20"/>
        </w:rPr>
      </w:pPr>
      <w:r w:rsidRPr="003441C1">
        <w:rPr>
          <w:rFonts w:cs="Arial"/>
          <w:szCs w:val="20"/>
        </w:rPr>
        <w:t>Komunální odpad se třídí na složky</w:t>
      </w:r>
      <w:r w:rsidR="00B62FA1">
        <w:rPr>
          <w:rFonts w:cs="Arial"/>
          <w:szCs w:val="20"/>
        </w:rPr>
        <w:t>:</w:t>
      </w:r>
    </w:p>
    <w:p w:rsidR="0045400B" w:rsidRPr="00304A8D" w:rsidRDefault="0045400B" w:rsidP="0045400B">
      <w:pPr>
        <w:rPr>
          <w:rFonts w:cs="Arial"/>
          <w:i/>
          <w:iCs/>
          <w:sz w:val="12"/>
          <w:szCs w:val="12"/>
        </w:rPr>
      </w:pPr>
    </w:p>
    <w:p w:rsidR="0045400B" w:rsidRPr="0045400B" w:rsidRDefault="002E6E6D" w:rsidP="0045400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b</w:t>
      </w:r>
      <w:r w:rsidR="0045400B" w:rsidRPr="0045400B">
        <w:rPr>
          <w:rFonts w:cs="Arial"/>
          <w:bCs/>
          <w:i/>
          <w:color w:val="000000"/>
          <w:szCs w:val="20"/>
        </w:rPr>
        <w:t xml:space="preserve">iologické odpady </w:t>
      </w:r>
      <w:r w:rsidR="0045400B" w:rsidRPr="0045400B">
        <w:rPr>
          <w:rFonts w:cs="Arial"/>
          <w:bCs/>
          <w:szCs w:val="20"/>
        </w:rPr>
        <w:t>rostlinného původu,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p</w:t>
      </w:r>
      <w:r w:rsidR="0045400B" w:rsidRPr="0045400B">
        <w:rPr>
          <w:rFonts w:cs="Arial"/>
          <w:bCs/>
          <w:i/>
          <w:color w:val="000000"/>
          <w:szCs w:val="20"/>
        </w:rPr>
        <w:t>apír,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n</w:t>
      </w:r>
      <w:r w:rsidR="0045400B" w:rsidRPr="0045400B">
        <w:rPr>
          <w:rFonts w:cs="Arial"/>
          <w:bCs/>
          <w:i/>
          <w:color w:val="000000"/>
          <w:szCs w:val="20"/>
        </w:rPr>
        <w:t>ápojové kartony</w:t>
      </w:r>
      <w:r>
        <w:rPr>
          <w:rFonts w:cs="Arial"/>
          <w:bCs/>
          <w:i/>
          <w:color w:val="000000"/>
          <w:szCs w:val="20"/>
        </w:rPr>
        <w:t>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p</w:t>
      </w:r>
      <w:r w:rsidR="0045400B" w:rsidRPr="0045400B">
        <w:rPr>
          <w:rFonts w:cs="Arial"/>
          <w:bCs/>
          <w:i/>
          <w:color w:val="000000"/>
          <w:szCs w:val="20"/>
        </w:rPr>
        <w:t>lasty,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s</w:t>
      </w:r>
      <w:r w:rsidR="0045400B" w:rsidRPr="0045400B">
        <w:rPr>
          <w:rFonts w:cs="Arial"/>
          <w:bCs/>
          <w:i/>
          <w:color w:val="000000"/>
          <w:szCs w:val="20"/>
        </w:rPr>
        <w:t>klo,</w:t>
      </w:r>
    </w:p>
    <w:p w:rsidR="0045400B" w:rsidRPr="0045400B" w:rsidRDefault="008F77EC" w:rsidP="0045400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k</w:t>
      </w:r>
      <w:r w:rsidR="0045400B" w:rsidRPr="0045400B">
        <w:rPr>
          <w:rFonts w:cs="Arial"/>
          <w:bCs/>
          <w:i/>
          <w:color w:val="000000"/>
          <w:szCs w:val="20"/>
        </w:rPr>
        <w:t>ovy,</w:t>
      </w:r>
    </w:p>
    <w:p w:rsidR="0045400B" w:rsidRPr="0045400B" w:rsidRDefault="00B358F8" w:rsidP="0045400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jedlé</w:t>
      </w:r>
      <w:r w:rsidR="0045400B" w:rsidRPr="0045400B">
        <w:rPr>
          <w:rFonts w:cs="Arial"/>
          <w:bCs/>
          <w:i/>
          <w:color w:val="000000"/>
          <w:szCs w:val="20"/>
        </w:rPr>
        <w:t xml:space="preserve"> oleje a tuky</w:t>
      </w:r>
      <w:r w:rsidR="008F77EC">
        <w:rPr>
          <w:rFonts w:cs="Arial"/>
          <w:bCs/>
          <w:i/>
          <w:color w:val="000000"/>
          <w:szCs w:val="20"/>
        </w:rPr>
        <w:t>,</w:t>
      </w:r>
    </w:p>
    <w:p w:rsidR="0045400B" w:rsidRPr="0045400B" w:rsidRDefault="008F77EC" w:rsidP="0045400B">
      <w:pPr>
        <w:numPr>
          <w:ilvl w:val="0"/>
          <w:numId w:val="19"/>
        </w:numPr>
        <w:rPr>
          <w:rFonts w:cs="Arial"/>
          <w:i/>
          <w:iCs/>
          <w:szCs w:val="20"/>
        </w:rPr>
      </w:pPr>
      <w:r>
        <w:rPr>
          <w:rFonts w:cs="Arial"/>
          <w:bCs/>
          <w:i/>
          <w:color w:val="000000"/>
          <w:szCs w:val="20"/>
        </w:rPr>
        <w:t>n</w:t>
      </w:r>
      <w:r w:rsidR="0045400B" w:rsidRPr="0045400B">
        <w:rPr>
          <w:rFonts w:cs="Arial"/>
          <w:bCs/>
          <w:i/>
          <w:color w:val="000000"/>
          <w:szCs w:val="20"/>
        </w:rPr>
        <w:t>ebezpečné odpady,</w:t>
      </w:r>
    </w:p>
    <w:p w:rsidR="0045400B" w:rsidRDefault="008F77EC" w:rsidP="0045400B">
      <w:pPr>
        <w:numPr>
          <w:ilvl w:val="0"/>
          <w:numId w:val="19"/>
        </w:numPr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o</w:t>
      </w:r>
      <w:r w:rsidR="0045400B" w:rsidRPr="0045400B">
        <w:rPr>
          <w:rFonts w:cs="Arial"/>
          <w:bCs/>
          <w:i/>
          <w:color w:val="000000"/>
          <w:szCs w:val="20"/>
        </w:rPr>
        <w:t>bjemný odpad,</w:t>
      </w:r>
    </w:p>
    <w:p w:rsidR="00B358F8" w:rsidRPr="0045400B" w:rsidRDefault="00B358F8" w:rsidP="0045400B">
      <w:pPr>
        <w:numPr>
          <w:ilvl w:val="0"/>
          <w:numId w:val="19"/>
        </w:numPr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textil</w:t>
      </w:r>
      <w:r w:rsidR="00B62FA1">
        <w:rPr>
          <w:rFonts w:cs="Arial"/>
          <w:bCs/>
          <w:i/>
          <w:color w:val="000000"/>
          <w:szCs w:val="20"/>
        </w:rPr>
        <w:t>,</w:t>
      </w:r>
    </w:p>
    <w:p w:rsidR="0045400B" w:rsidRPr="0045400B" w:rsidRDefault="008F77EC" w:rsidP="0045400B">
      <w:pPr>
        <w:numPr>
          <w:ilvl w:val="0"/>
          <w:numId w:val="19"/>
        </w:numPr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s</w:t>
      </w:r>
      <w:r w:rsidR="0045400B" w:rsidRPr="0045400B">
        <w:rPr>
          <w:rFonts w:cs="Arial"/>
          <w:i/>
          <w:iCs/>
          <w:szCs w:val="20"/>
        </w:rPr>
        <w:t>měsný komunální odpad.</w:t>
      </w:r>
    </w:p>
    <w:p w:rsidR="0045400B" w:rsidRPr="00304A8D" w:rsidRDefault="0045400B" w:rsidP="0045400B">
      <w:pPr>
        <w:rPr>
          <w:rFonts w:cs="Arial"/>
          <w:i/>
          <w:sz w:val="12"/>
          <w:szCs w:val="12"/>
        </w:rPr>
      </w:pPr>
    </w:p>
    <w:p w:rsidR="0045400B" w:rsidRDefault="0045400B" w:rsidP="0072460C">
      <w:pPr>
        <w:pStyle w:val="Zkladntextodsazen"/>
        <w:numPr>
          <w:ilvl w:val="0"/>
          <w:numId w:val="34"/>
        </w:numPr>
        <w:rPr>
          <w:rFonts w:ascii="Arial" w:hAnsi="Arial" w:cs="Arial"/>
          <w:sz w:val="20"/>
        </w:rPr>
      </w:pPr>
      <w:r w:rsidRPr="0045400B">
        <w:rPr>
          <w:rFonts w:ascii="Arial" w:hAnsi="Arial" w:cs="Arial"/>
          <w:sz w:val="20"/>
        </w:rPr>
        <w:t>Směsným komunálním odpadem se rozumí zbylý komunální odpad po stanoveném vytřídění podle odstavce 1</w:t>
      </w:r>
      <w:r w:rsidR="002E6E6D">
        <w:rPr>
          <w:rFonts w:ascii="Arial" w:hAnsi="Arial" w:cs="Arial"/>
          <w:sz w:val="20"/>
        </w:rPr>
        <w:t>)</w:t>
      </w:r>
      <w:r w:rsidRPr="0045400B">
        <w:rPr>
          <w:rFonts w:ascii="Arial" w:hAnsi="Arial" w:cs="Arial"/>
          <w:sz w:val="20"/>
        </w:rPr>
        <w:t xml:space="preserve"> písm. a)</w:t>
      </w:r>
      <w:r w:rsidR="00C860F8">
        <w:rPr>
          <w:rFonts w:ascii="Arial" w:hAnsi="Arial" w:cs="Arial"/>
          <w:sz w:val="20"/>
        </w:rPr>
        <w:t xml:space="preserve"> až </w:t>
      </w:r>
      <w:r w:rsidR="0072460C">
        <w:rPr>
          <w:rFonts w:ascii="Arial" w:hAnsi="Arial" w:cs="Arial"/>
          <w:sz w:val="20"/>
        </w:rPr>
        <w:t>j).</w:t>
      </w:r>
    </w:p>
    <w:p w:rsidR="0072460C" w:rsidRPr="0045400B" w:rsidRDefault="0072460C" w:rsidP="0072460C">
      <w:pPr>
        <w:pStyle w:val="Zkladntextodsazen"/>
        <w:numPr>
          <w:ilvl w:val="0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Objemným odpadem je takový odpad, který vzhledem ke svým rozměrům nemůže </w:t>
      </w:r>
      <w:r w:rsidR="00B62FA1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ýt umístěn do sběrných nádob (např. koberce, matrace, nábytek apod.).</w:t>
      </w:r>
    </w:p>
    <w:p w:rsidR="00462C1B" w:rsidRDefault="00462C1B" w:rsidP="00462C1B">
      <w:pPr>
        <w:pStyle w:val="lnekNadpis"/>
      </w:pPr>
    </w:p>
    <w:p w:rsidR="0072460C" w:rsidRDefault="0045400B" w:rsidP="0072460C">
      <w:pPr>
        <w:pStyle w:val="lnekNzev"/>
        <w:rPr>
          <w:rFonts w:ascii="Arial-BoldMT" w:hAnsi="Arial-BoldMT" w:cs="Arial-BoldMT"/>
          <w:b w:val="0"/>
          <w:bCs/>
          <w:color w:val="000000"/>
        </w:rPr>
      </w:pPr>
      <w:bookmarkStart w:id="5" w:name="_Toc241659022"/>
      <w:bookmarkStart w:id="6" w:name="_Toc515020738"/>
      <w:bookmarkStart w:id="7" w:name="_Toc89859800"/>
      <w:r w:rsidRPr="0045400B">
        <w:rPr>
          <w:rFonts w:cs="Arial"/>
          <w:bCs/>
          <w:szCs w:val="20"/>
        </w:rPr>
        <w:t>S</w:t>
      </w:r>
      <w:bookmarkEnd w:id="5"/>
      <w:bookmarkEnd w:id="6"/>
      <w:r w:rsidR="0072460C">
        <w:rPr>
          <w:rFonts w:ascii="Arial-BoldMT" w:hAnsi="Arial-BoldMT" w:cs="Arial-BoldMT"/>
          <w:bCs/>
          <w:color w:val="000000"/>
        </w:rPr>
        <w:t>oustřeďování papíru, nápojového kartonu, plastů, skla, kovů, biologického odpadu rostlinného původu, jedlých olejů a tuků, textilu</w:t>
      </w:r>
      <w:bookmarkEnd w:id="7"/>
    </w:p>
    <w:p w:rsidR="00E35335" w:rsidRPr="00012A42" w:rsidRDefault="00E35335" w:rsidP="00012A42">
      <w:pPr>
        <w:numPr>
          <w:ilvl w:val="0"/>
          <w:numId w:val="21"/>
        </w:numPr>
        <w:tabs>
          <w:tab w:val="num" w:pos="927"/>
        </w:tabs>
        <w:spacing w:after="200"/>
        <w:ind w:left="357" w:hanging="357"/>
        <w:jc w:val="both"/>
        <w:rPr>
          <w:rFonts w:cs="Arial"/>
          <w:szCs w:val="20"/>
        </w:rPr>
      </w:pPr>
      <w:r w:rsidRPr="003441C1">
        <w:rPr>
          <w:rFonts w:cs="Arial"/>
          <w:szCs w:val="20"/>
        </w:rPr>
        <w:t xml:space="preserve">Tříděný odpad je shromažďován do </w:t>
      </w:r>
      <w:r w:rsidRPr="003441C1">
        <w:rPr>
          <w:rFonts w:cs="Arial"/>
          <w:bCs/>
          <w:szCs w:val="20"/>
        </w:rPr>
        <w:t xml:space="preserve">zvláštních sběrných nádob. Jedná se o typizované sběrné nádoby, tj. </w:t>
      </w:r>
      <w:r w:rsidR="002E6E6D">
        <w:rPr>
          <w:rFonts w:cs="Arial"/>
          <w:bCs/>
          <w:szCs w:val="20"/>
        </w:rPr>
        <w:t>nádoby</w:t>
      </w:r>
      <w:r w:rsidRPr="003441C1">
        <w:rPr>
          <w:rFonts w:cs="Arial"/>
          <w:bCs/>
          <w:szCs w:val="20"/>
        </w:rPr>
        <w:t xml:space="preserve"> o objemu 120 l, 240 l a kontejnery o objemu 1100 l umístěné v souladu se zvláštními předpisy</w:t>
      </w:r>
      <w:r w:rsidR="00BC3ADA">
        <w:rPr>
          <w:rStyle w:val="Znakapoznpodarou"/>
          <w:rFonts w:cs="Arial"/>
          <w:bCs/>
          <w:szCs w:val="20"/>
        </w:rPr>
        <w:footnoteReference w:id="3"/>
      </w:r>
      <w:r w:rsidR="00DE3C3E" w:rsidRPr="00DE3C3E">
        <w:rPr>
          <w:rFonts w:cs="Arial"/>
          <w:bCs/>
          <w:szCs w:val="20"/>
          <w:vertAlign w:val="superscript"/>
        </w:rPr>
        <w:t>)</w:t>
      </w:r>
      <w:r w:rsidRPr="003441C1">
        <w:rPr>
          <w:rFonts w:cs="Arial"/>
          <w:bCs/>
          <w:szCs w:val="20"/>
        </w:rPr>
        <w:t xml:space="preserve">, barevně odlišené a označené příslušnými nápisy, případně pytle barevně označené ve vyjmenovaných lokalitách (viz </w:t>
      </w:r>
      <w:hyperlink r:id="rId8" w:history="1">
        <w:r w:rsidR="001D52B3" w:rsidRPr="003441C1">
          <w:rPr>
            <w:rStyle w:val="Hypertextovodkaz"/>
            <w:rFonts w:cs="Arial"/>
            <w:bCs/>
            <w:szCs w:val="20"/>
          </w:rPr>
          <w:t>http://www.opava-city.cz/cs</w:t>
        </w:r>
      </w:hyperlink>
      <w:r w:rsidR="001D52B3" w:rsidRPr="003441C1">
        <w:rPr>
          <w:rFonts w:cs="Arial"/>
          <w:bCs/>
          <w:szCs w:val="20"/>
        </w:rPr>
        <w:t xml:space="preserve"> </w:t>
      </w:r>
      <w:r w:rsidRPr="003441C1">
        <w:rPr>
          <w:rFonts w:cs="Arial"/>
          <w:bCs/>
          <w:szCs w:val="20"/>
        </w:rPr>
        <w:t>sekce životní prostředí &gt;&gt;&gt; odpady &gt;&gt;&gt; nástroje odpadového hospodářství).</w:t>
      </w:r>
    </w:p>
    <w:p w:rsidR="00012A42" w:rsidRPr="003441C1" w:rsidRDefault="00012A42" w:rsidP="00E35335">
      <w:pPr>
        <w:numPr>
          <w:ilvl w:val="0"/>
          <w:numId w:val="21"/>
        </w:numPr>
        <w:tabs>
          <w:tab w:val="num" w:pos="927"/>
        </w:tabs>
        <w:jc w:val="both"/>
        <w:rPr>
          <w:rFonts w:cs="Arial"/>
          <w:szCs w:val="20"/>
        </w:rPr>
      </w:pPr>
      <w:r>
        <w:lastRenderedPageBreak/>
        <w:t>Sběrné nádoby, příp. pytle dle</w:t>
      </w:r>
      <w:r w:rsidR="00BA3562">
        <w:t xml:space="preserve"> odst. </w:t>
      </w:r>
      <w:r>
        <w:t>1</w:t>
      </w:r>
      <w:r w:rsidR="002E6E6D">
        <w:t>)</w:t>
      </w:r>
      <w:r w:rsidR="00C860F8">
        <w:t xml:space="preserve"> tohoto článku</w:t>
      </w:r>
      <w:r>
        <w:t xml:space="preserve"> musí být zajištěny v dostatečném počtu </w:t>
      </w:r>
      <w:r w:rsidR="00C860F8">
        <w:br/>
      </w:r>
      <w:r>
        <w:t>a přistaveny</w:t>
      </w:r>
      <w:r w:rsidR="008F77EC">
        <w:t>, pytle uloženy</w:t>
      </w:r>
      <w:r w:rsidR="002E6E6D">
        <w:t>,</w:t>
      </w:r>
      <w:r>
        <w:t xml:space="preserve"> na nezbytně nutnou dobu v určené dny na určená místa, kde shromážděný odpad ze sběrných nádob, příp. barevné pytle</w:t>
      </w:r>
      <w:r w:rsidR="002E6E6D">
        <w:t>,</w:t>
      </w:r>
      <w:r>
        <w:t xml:space="preserve"> převezme svozová společnost.</w:t>
      </w:r>
    </w:p>
    <w:p w:rsidR="00E35335" w:rsidRPr="003441C1" w:rsidRDefault="00E35335" w:rsidP="00E35335">
      <w:pPr>
        <w:jc w:val="both"/>
        <w:rPr>
          <w:rFonts w:cs="Arial"/>
          <w:szCs w:val="20"/>
        </w:rPr>
      </w:pPr>
    </w:p>
    <w:p w:rsidR="00E35335" w:rsidRPr="003441C1" w:rsidRDefault="00E35335" w:rsidP="00253B1C">
      <w:pPr>
        <w:pStyle w:val="NormlnIMP"/>
        <w:numPr>
          <w:ilvl w:val="0"/>
          <w:numId w:val="2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0"/>
        </w:rPr>
      </w:pPr>
      <w:r w:rsidRPr="003441C1">
        <w:rPr>
          <w:rFonts w:ascii="Arial" w:hAnsi="Arial" w:cs="Arial"/>
          <w:sz w:val="20"/>
        </w:rPr>
        <w:t>Zvláštní sběrné nádoby jsou barevně odlišeny a označeny příslušnými nápisy</w:t>
      </w:r>
    </w:p>
    <w:p w:rsidR="00E35335" w:rsidRPr="00304A8D" w:rsidRDefault="00E35335" w:rsidP="00E35335">
      <w:pPr>
        <w:jc w:val="both"/>
        <w:rPr>
          <w:rFonts w:cs="Arial"/>
          <w:sz w:val="12"/>
          <w:szCs w:val="12"/>
        </w:rPr>
      </w:pPr>
    </w:p>
    <w:p w:rsidR="00E35335" w:rsidRPr="003441C1" w:rsidRDefault="005B120E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b</w:t>
      </w:r>
      <w:r w:rsidRPr="003441C1">
        <w:rPr>
          <w:rFonts w:cs="Arial"/>
          <w:bCs/>
          <w:i/>
          <w:color w:val="000000"/>
          <w:szCs w:val="20"/>
        </w:rPr>
        <w:t xml:space="preserve">iologické </w:t>
      </w:r>
      <w:r w:rsidR="00E35335" w:rsidRPr="003441C1">
        <w:rPr>
          <w:rFonts w:cs="Arial"/>
          <w:bCs/>
          <w:i/>
          <w:color w:val="000000"/>
          <w:szCs w:val="20"/>
        </w:rPr>
        <w:t xml:space="preserve">odpady </w:t>
      </w:r>
      <w:r w:rsidR="00E35335" w:rsidRPr="003441C1">
        <w:rPr>
          <w:rFonts w:cs="Arial"/>
          <w:bCs/>
          <w:szCs w:val="20"/>
        </w:rPr>
        <w:t>rostlinného původu,</w:t>
      </w:r>
      <w:r w:rsidR="001D52B3" w:rsidRPr="003441C1">
        <w:rPr>
          <w:rFonts w:cs="Arial"/>
          <w:bCs/>
          <w:szCs w:val="20"/>
        </w:rPr>
        <w:t xml:space="preserve"> barva hnědá</w:t>
      </w:r>
      <w:r w:rsidR="00754DD2">
        <w:rPr>
          <w:rFonts w:cs="Arial"/>
          <w:bCs/>
          <w:szCs w:val="20"/>
        </w:rPr>
        <w:t xml:space="preserve"> (vyjma nedrcených větví), </w:t>
      </w:r>
      <w:r w:rsidR="00381AFE">
        <w:rPr>
          <w:rFonts w:cs="Arial"/>
          <w:bCs/>
          <w:szCs w:val="20"/>
        </w:rPr>
        <w:t>v rámci jarního a</w:t>
      </w:r>
      <w:r w:rsidR="002E6E6D">
        <w:rPr>
          <w:rFonts w:cs="Arial"/>
          <w:bCs/>
          <w:szCs w:val="20"/>
        </w:rPr>
        <w:t> </w:t>
      </w:r>
      <w:r w:rsidR="00381AFE">
        <w:rPr>
          <w:rFonts w:cs="Arial"/>
          <w:bCs/>
          <w:szCs w:val="20"/>
        </w:rPr>
        <w:t xml:space="preserve">podzimního úklidu velkoobjemové kontejnery, jinak </w:t>
      </w:r>
      <w:r w:rsidR="00754DD2">
        <w:rPr>
          <w:rFonts w:cs="Arial"/>
          <w:bCs/>
          <w:szCs w:val="20"/>
        </w:rPr>
        <w:t>do sběrných dvorů</w:t>
      </w:r>
      <w:r w:rsidR="003C6DFF">
        <w:rPr>
          <w:rFonts w:cs="Arial"/>
          <w:bCs/>
          <w:szCs w:val="20"/>
        </w:rPr>
        <w:t>,</w:t>
      </w:r>
      <w:r w:rsidR="00754DD2">
        <w:rPr>
          <w:rFonts w:cs="Arial"/>
          <w:bCs/>
          <w:szCs w:val="20"/>
        </w:rPr>
        <w:t xml:space="preserve"> </w:t>
      </w:r>
    </w:p>
    <w:p w:rsidR="00E35335" w:rsidRPr="00A534E0" w:rsidRDefault="005B120E" w:rsidP="001D52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Arial"/>
          <w:bCs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p</w:t>
      </w:r>
      <w:r w:rsidRPr="003441C1">
        <w:rPr>
          <w:rFonts w:cs="Arial"/>
          <w:bCs/>
          <w:i/>
          <w:color w:val="000000"/>
          <w:szCs w:val="20"/>
        </w:rPr>
        <w:t>apír</w:t>
      </w:r>
      <w:r w:rsidR="00E35335" w:rsidRPr="003441C1">
        <w:rPr>
          <w:rFonts w:cs="Arial"/>
          <w:bCs/>
          <w:i/>
          <w:color w:val="000000"/>
          <w:szCs w:val="20"/>
        </w:rPr>
        <w:t>,</w:t>
      </w:r>
      <w:r w:rsidR="001D52B3" w:rsidRPr="003441C1">
        <w:rPr>
          <w:rFonts w:cs="Arial"/>
          <w:bCs/>
          <w:i/>
          <w:color w:val="000000"/>
          <w:szCs w:val="20"/>
        </w:rPr>
        <w:t xml:space="preserve"> </w:t>
      </w:r>
      <w:r w:rsidR="001D52B3" w:rsidRPr="00A534E0">
        <w:rPr>
          <w:rFonts w:cs="Arial"/>
          <w:bCs/>
          <w:color w:val="000000"/>
          <w:szCs w:val="20"/>
        </w:rPr>
        <w:t>barva modrá</w:t>
      </w:r>
      <w:r w:rsidR="003C6DFF">
        <w:rPr>
          <w:rFonts w:cs="Arial"/>
          <w:bCs/>
          <w:color w:val="000000"/>
          <w:szCs w:val="20"/>
        </w:rPr>
        <w:t>,</w:t>
      </w:r>
    </w:p>
    <w:p w:rsidR="00E35335" w:rsidRPr="003441C1" w:rsidRDefault="005B120E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n</w:t>
      </w:r>
      <w:r w:rsidRPr="003441C1">
        <w:rPr>
          <w:rFonts w:cs="Arial"/>
          <w:bCs/>
          <w:i/>
          <w:color w:val="000000"/>
          <w:szCs w:val="20"/>
        </w:rPr>
        <w:t xml:space="preserve">ápojové </w:t>
      </w:r>
      <w:r w:rsidR="00E35335" w:rsidRPr="003441C1">
        <w:rPr>
          <w:rFonts w:cs="Arial"/>
          <w:bCs/>
          <w:i/>
          <w:color w:val="000000"/>
          <w:szCs w:val="20"/>
        </w:rPr>
        <w:t>kartony</w:t>
      </w:r>
      <w:r w:rsidR="001D52B3" w:rsidRPr="003441C1">
        <w:rPr>
          <w:rFonts w:cs="Arial"/>
          <w:bCs/>
          <w:i/>
          <w:color w:val="000000"/>
          <w:szCs w:val="20"/>
        </w:rPr>
        <w:t xml:space="preserve">, </w:t>
      </w:r>
      <w:r w:rsidR="001D52B3" w:rsidRPr="00A534E0">
        <w:rPr>
          <w:rFonts w:cs="Arial"/>
          <w:bCs/>
          <w:color w:val="000000"/>
          <w:szCs w:val="20"/>
        </w:rPr>
        <w:t>barva modrá</w:t>
      </w:r>
      <w:r w:rsidR="0072460C">
        <w:rPr>
          <w:rFonts w:cs="Arial"/>
          <w:bCs/>
          <w:color w:val="000000"/>
          <w:szCs w:val="20"/>
        </w:rPr>
        <w:t xml:space="preserve"> společně s papírem</w:t>
      </w:r>
      <w:r w:rsidR="001D52B3" w:rsidRPr="00A534E0">
        <w:rPr>
          <w:rFonts w:cs="Arial"/>
          <w:bCs/>
          <w:color w:val="000000"/>
          <w:szCs w:val="20"/>
        </w:rPr>
        <w:t xml:space="preserve"> (pytle – barva oranžová, příp. společně s papírem do modrých pytlů)</w:t>
      </w:r>
      <w:r w:rsidR="003C6DFF">
        <w:rPr>
          <w:rFonts w:cs="Arial"/>
          <w:bCs/>
          <w:color w:val="000000"/>
          <w:szCs w:val="20"/>
        </w:rPr>
        <w:t>,</w:t>
      </w:r>
      <w:r w:rsidR="001D52B3" w:rsidRPr="003441C1">
        <w:rPr>
          <w:rFonts w:cs="Arial"/>
          <w:bCs/>
          <w:i/>
          <w:color w:val="000000"/>
          <w:szCs w:val="20"/>
        </w:rPr>
        <w:t xml:space="preserve"> </w:t>
      </w:r>
    </w:p>
    <w:p w:rsidR="00E35335" w:rsidRPr="003441C1" w:rsidRDefault="005B120E" w:rsidP="001D52B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p</w:t>
      </w:r>
      <w:r w:rsidRPr="003441C1">
        <w:rPr>
          <w:rFonts w:cs="Arial"/>
          <w:bCs/>
          <w:i/>
          <w:color w:val="000000"/>
          <w:szCs w:val="20"/>
        </w:rPr>
        <w:t>lasty</w:t>
      </w:r>
      <w:r w:rsidR="00E35335" w:rsidRPr="003441C1">
        <w:rPr>
          <w:rFonts w:cs="Arial"/>
          <w:bCs/>
          <w:i/>
          <w:color w:val="000000"/>
          <w:szCs w:val="20"/>
        </w:rPr>
        <w:t>,</w:t>
      </w:r>
      <w:r w:rsidR="001D52B3" w:rsidRPr="003441C1">
        <w:rPr>
          <w:rFonts w:cs="Arial"/>
          <w:bCs/>
          <w:i/>
          <w:color w:val="000000"/>
          <w:szCs w:val="20"/>
        </w:rPr>
        <w:t xml:space="preserve"> </w:t>
      </w:r>
      <w:r w:rsidR="001D52B3" w:rsidRPr="00A534E0">
        <w:rPr>
          <w:rFonts w:cs="Arial"/>
          <w:bCs/>
          <w:color w:val="000000"/>
          <w:szCs w:val="20"/>
        </w:rPr>
        <w:t>barva žlutá</w:t>
      </w:r>
      <w:r w:rsidR="003C6DFF">
        <w:rPr>
          <w:rFonts w:cs="Arial"/>
          <w:bCs/>
          <w:color w:val="000000"/>
          <w:szCs w:val="20"/>
        </w:rPr>
        <w:t>,</w:t>
      </w:r>
    </w:p>
    <w:p w:rsidR="00E35335" w:rsidRPr="003441C1" w:rsidRDefault="005B120E" w:rsidP="00E3533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s</w:t>
      </w:r>
      <w:r w:rsidRPr="003441C1">
        <w:rPr>
          <w:rFonts w:cs="Arial"/>
          <w:bCs/>
          <w:i/>
          <w:color w:val="000000"/>
          <w:szCs w:val="20"/>
        </w:rPr>
        <w:t>klo</w:t>
      </w:r>
      <w:r w:rsidR="00E35335" w:rsidRPr="003441C1">
        <w:rPr>
          <w:rFonts w:cs="Arial"/>
          <w:bCs/>
          <w:i/>
          <w:color w:val="000000"/>
          <w:szCs w:val="20"/>
        </w:rPr>
        <w:t>,</w:t>
      </w:r>
      <w:r w:rsidR="001D52B3" w:rsidRPr="003441C1">
        <w:rPr>
          <w:rFonts w:cs="Arial"/>
          <w:bCs/>
          <w:i/>
          <w:color w:val="000000"/>
          <w:szCs w:val="20"/>
        </w:rPr>
        <w:t xml:space="preserve"> </w:t>
      </w:r>
      <w:r w:rsidR="001D52B3" w:rsidRPr="00A534E0">
        <w:rPr>
          <w:rFonts w:cs="Arial"/>
          <w:bCs/>
          <w:color w:val="000000"/>
          <w:szCs w:val="20"/>
        </w:rPr>
        <w:t>barva zelená</w:t>
      </w:r>
      <w:r w:rsidR="003C6DFF">
        <w:rPr>
          <w:rFonts w:cs="Arial"/>
          <w:bCs/>
          <w:color w:val="000000"/>
          <w:szCs w:val="20"/>
        </w:rPr>
        <w:t>,</w:t>
      </w:r>
    </w:p>
    <w:p w:rsidR="00E35335" w:rsidRPr="003441C1" w:rsidRDefault="005B120E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k</w:t>
      </w:r>
      <w:r w:rsidRPr="003441C1">
        <w:rPr>
          <w:rFonts w:cs="Arial"/>
          <w:bCs/>
          <w:i/>
          <w:color w:val="000000"/>
          <w:szCs w:val="20"/>
        </w:rPr>
        <w:t>ovy</w:t>
      </w:r>
      <w:r w:rsidR="00E35335" w:rsidRPr="00A534E0">
        <w:rPr>
          <w:rFonts w:cs="Arial"/>
          <w:bCs/>
          <w:color w:val="000000"/>
          <w:szCs w:val="20"/>
        </w:rPr>
        <w:t>,</w:t>
      </w:r>
      <w:r w:rsidR="001D52B3" w:rsidRPr="00A534E0">
        <w:rPr>
          <w:rFonts w:cs="Arial"/>
          <w:bCs/>
          <w:color w:val="000000"/>
          <w:szCs w:val="20"/>
        </w:rPr>
        <w:t xml:space="preserve">(pouze potravinářské </w:t>
      </w:r>
      <w:r w:rsidR="0072460C">
        <w:rPr>
          <w:rFonts w:cs="Arial"/>
          <w:bCs/>
          <w:color w:val="000000"/>
          <w:szCs w:val="20"/>
        </w:rPr>
        <w:t xml:space="preserve">a nápojové </w:t>
      </w:r>
      <w:r w:rsidR="001D52B3" w:rsidRPr="00A534E0">
        <w:rPr>
          <w:rFonts w:cs="Arial"/>
          <w:bCs/>
          <w:color w:val="000000"/>
          <w:szCs w:val="20"/>
        </w:rPr>
        <w:t xml:space="preserve">plechovky do žlutých pytlů a </w:t>
      </w:r>
      <w:r w:rsidR="00381AFE" w:rsidRPr="00A534E0">
        <w:rPr>
          <w:rFonts w:cs="Arial"/>
          <w:bCs/>
          <w:color w:val="000000"/>
          <w:szCs w:val="20"/>
        </w:rPr>
        <w:t xml:space="preserve">žlutých </w:t>
      </w:r>
      <w:r w:rsidR="001D52B3" w:rsidRPr="00A534E0">
        <w:rPr>
          <w:rFonts w:cs="Arial"/>
          <w:bCs/>
          <w:color w:val="000000"/>
          <w:szCs w:val="20"/>
        </w:rPr>
        <w:t>nádob</w:t>
      </w:r>
      <w:r w:rsidR="00AC12BA" w:rsidRPr="00A534E0">
        <w:rPr>
          <w:rFonts w:cs="Arial"/>
          <w:bCs/>
          <w:color w:val="000000"/>
          <w:szCs w:val="20"/>
        </w:rPr>
        <w:t xml:space="preserve"> společně </w:t>
      </w:r>
      <w:r w:rsidR="00253B1C">
        <w:rPr>
          <w:rFonts w:cs="Arial"/>
          <w:bCs/>
          <w:color w:val="000000"/>
          <w:szCs w:val="20"/>
        </w:rPr>
        <w:br/>
      </w:r>
      <w:r w:rsidR="00AC12BA" w:rsidRPr="00A534E0">
        <w:rPr>
          <w:rFonts w:cs="Arial"/>
          <w:bCs/>
          <w:color w:val="000000"/>
          <w:szCs w:val="20"/>
        </w:rPr>
        <w:t>s plastem</w:t>
      </w:r>
      <w:r w:rsidR="001D52B3" w:rsidRPr="00A534E0">
        <w:rPr>
          <w:rFonts w:cs="Arial"/>
          <w:bCs/>
          <w:color w:val="000000"/>
          <w:szCs w:val="20"/>
        </w:rPr>
        <w:t>, jinak sběrné dvory)</w:t>
      </w:r>
      <w:r w:rsidR="003C6DFF">
        <w:rPr>
          <w:rFonts w:cs="Arial"/>
          <w:bCs/>
          <w:color w:val="000000"/>
          <w:szCs w:val="20"/>
        </w:rPr>
        <w:t>,</w:t>
      </w:r>
    </w:p>
    <w:p w:rsidR="00E35335" w:rsidRDefault="005B120E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r</w:t>
      </w:r>
      <w:r w:rsidRPr="003441C1">
        <w:rPr>
          <w:rFonts w:cs="Arial"/>
          <w:bCs/>
          <w:i/>
          <w:color w:val="000000"/>
          <w:szCs w:val="20"/>
        </w:rPr>
        <w:t xml:space="preserve">ostlinné </w:t>
      </w:r>
      <w:r w:rsidR="00E35335" w:rsidRPr="003441C1">
        <w:rPr>
          <w:rFonts w:cs="Arial"/>
          <w:bCs/>
          <w:i/>
          <w:color w:val="000000"/>
          <w:szCs w:val="20"/>
        </w:rPr>
        <w:t>oleje a tuky</w:t>
      </w:r>
      <w:r w:rsidR="00A965B4">
        <w:rPr>
          <w:rFonts w:cs="Arial"/>
          <w:bCs/>
          <w:color w:val="000000"/>
          <w:szCs w:val="20"/>
        </w:rPr>
        <w:t>, barva černá s </w:t>
      </w:r>
      <w:r w:rsidR="00BC6977">
        <w:rPr>
          <w:rFonts w:cs="Arial"/>
          <w:bCs/>
          <w:color w:val="000000"/>
          <w:szCs w:val="20"/>
        </w:rPr>
        <w:t xml:space="preserve">fialovým </w:t>
      </w:r>
      <w:r w:rsidR="00A965B4">
        <w:rPr>
          <w:rFonts w:cs="Arial"/>
          <w:bCs/>
          <w:color w:val="000000"/>
          <w:szCs w:val="20"/>
        </w:rPr>
        <w:t>víkem</w:t>
      </w:r>
      <w:r w:rsidR="001D52B3" w:rsidRPr="003441C1">
        <w:rPr>
          <w:rFonts w:cs="Arial"/>
          <w:bCs/>
          <w:i/>
          <w:color w:val="000000"/>
          <w:szCs w:val="20"/>
        </w:rPr>
        <w:t xml:space="preserve"> – </w:t>
      </w:r>
      <w:r w:rsidR="001D52B3" w:rsidRPr="00A534E0">
        <w:rPr>
          <w:rFonts w:cs="Arial"/>
          <w:bCs/>
          <w:color w:val="000000"/>
          <w:szCs w:val="20"/>
        </w:rPr>
        <w:t>uzavřené v</w:t>
      </w:r>
      <w:r w:rsidR="00BC6977">
        <w:rPr>
          <w:rFonts w:cs="Arial"/>
          <w:bCs/>
          <w:color w:val="000000"/>
          <w:szCs w:val="20"/>
        </w:rPr>
        <w:t> </w:t>
      </w:r>
      <w:r w:rsidR="001D52B3" w:rsidRPr="00A534E0">
        <w:rPr>
          <w:rFonts w:cs="Arial"/>
          <w:bCs/>
          <w:color w:val="000000"/>
          <w:szCs w:val="20"/>
        </w:rPr>
        <w:t>PET</w:t>
      </w:r>
      <w:r w:rsidR="00BC6977">
        <w:rPr>
          <w:rFonts w:cs="Arial"/>
          <w:bCs/>
          <w:color w:val="000000"/>
          <w:szCs w:val="20"/>
        </w:rPr>
        <w:t xml:space="preserve"> lahvích</w:t>
      </w:r>
      <w:r w:rsidR="00C860F8">
        <w:rPr>
          <w:rFonts w:cs="Arial"/>
          <w:bCs/>
          <w:color w:val="000000"/>
          <w:szCs w:val="20"/>
        </w:rPr>
        <w:t>,</w:t>
      </w:r>
      <w:r w:rsidR="001D52B3" w:rsidRPr="00A534E0">
        <w:rPr>
          <w:rFonts w:cs="Arial"/>
          <w:bCs/>
          <w:color w:val="000000"/>
          <w:szCs w:val="20"/>
        </w:rPr>
        <w:t xml:space="preserve"> </w:t>
      </w:r>
    </w:p>
    <w:p w:rsidR="00A965B4" w:rsidRPr="00A534E0" w:rsidRDefault="00A965B4" w:rsidP="00253B1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  <w:r>
        <w:rPr>
          <w:rFonts w:cs="Arial"/>
          <w:bCs/>
          <w:i/>
          <w:color w:val="000000"/>
          <w:szCs w:val="20"/>
        </w:rPr>
        <w:t>Textil</w:t>
      </w:r>
      <w:r>
        <w:rPr>
          <w:rFonts w:cs="Arial"/>
          <w:bCs/>
          <w:color w:val="000000"/>
          <w:szCs w:val="20"/>
        </w:rPr>
        <w:t>, barva kontejnerů dle jednotlivých odběratelů (barva bílá, meruňková, červená s příslušným označením)</w:t>
      </w:r>
      <w:r w:rsidR="00C860F8">
        <w:rPr>
          <w:rFonts w:cs="Arial"/>
          <w:bCs/>
          <w:color w:val="000000"/>
          <w:szCs w:val="20"/>
        </w:rPr>
        <w:t>.</w:t>
      </w:r>
      <w:r>
        <w:rPr>
          <w:rFonts w:cs="Arial"/>
          <w:bCs/>
          <w:color w:val="000000"/>
          <w:szCs w:val="20"/>
        </w:rPr>
        <w:t xml:space="preserve"> </w:t>
      </w:r>
    </w:p>
    <w:p w:rsidR="00E35335" w:rsidRPr="00304A8D" w:rsidRDefault="00E35335" w:rsidP="00E35335">
      <w:pPr>
        <w:ind w:left="360"/>
        <w:rPr>
          <w:rFonts w:cs="Arial"/>
          <w:i/>
          <w:iCs/>
          <w:sz w:val="12"/>
          <w:szCs w:val="12"/>
        </w:rPr>
      </w:pPr>
    </w:p>
    <w:p w:rsidR="00E35335" w:rsidRDefault="00E35335" w:rsidP="00381AFE">
      <w:pPr>
        <w:numPr>
          <w:ilvl w:val="0"/>
          <w:numId w:val="21"/>
        </w:numPr>
        <w:spacing w:after="200"/>
        <w:ind w:left="357" w:hanging="357"/>
        <w:jc w:val="both"/>
        <w:rPr>
          <w:rFonts w:cs="Arial"/>
          <w:szCs w:val="20"/>
        </w:rPr>
      </w:pPr>
      <w:r w:rsidRPr="003441C1">
        <w:rPr>
          <w:rFonts w:cs="Arial"/>
          <w:szCs w:val="20"/>
        </w:rPr>
        <w:t>Do zvláštních sběrných nádob je zakázáno ukládat jiné složky komunálních odpadů, než pro které jsou určeny.</w:t>
      </w:r>
    </w:p>
    <w:p w:rsidR="00267CD5" w:rsidRPr="003441C1" w:rsidRDefault="00A965B4" w:rsidP="00E35335">
      <w:pPr>
        <w:numPr>
          <w:ilvl w:val="0"/>
          <w:numId w:val="2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Sběrné nádoby je povinnost plnit tak, aby je bylo možno uzavřít a odpad z nich při manipulaci nevypadával. Pokud to umožní povaha odpadu</w:t>
      </w:r>
      <w:r w:rsidR="00D34654">
        <w:rPr>
          <w:rFonts w:cs="Arial"/>
          <w:szCs w:val="20"/>
        </w:rPr>
        <w:t>,</w:t>
      </w:r>
      <w:r w:rsidR="00267CD5">
        <w:t xml:space="preserve"> je povinnost jeh</w:t>
      </w:r>
      <w:r w:rsidR="00D34654">
        <w:t>o</w:t>
      </w:r>
      <w:r w:rsidR="00267CD5">
        <w:t xml:space="preserve"> objem </w:t>
      </w:r>
      <w:r w:rsidR="00D34654">
        <w:t xml:space="preserve">před odložením do nádob minimalizovat, např. </w:t>
      </w:r>
      <w:r w:rsidR="00267CD5">
        <w:t xml:space="preserve">sešlápnutím PET lahví, nápojových kartonů, </w:t>
      </w:r>
      <w:r>
        <w:t xml:space="preserve">nápojových plechovek a </w:t>
      </w:r>
      <w:r w:rsidR="00267CD5">
        <w:t>složením papírových krabic.</w:t>
      </w:r>
    </w:p>
    <w:p w:rsidR="00E35335" w:rsidRPr="003441C1" w:rsidRDefault="00E35335" w:rsidP="00E35335">
      <w:pPr>
        <w:jc w:val="both"/>
        <w:rPr>
          <w:rFonts w:cs="Arial"/>
          <w:szCs w:val="20"/>
        </w:rPr>
      </w:pPr>
    </w:p>
    <w:p w:rsidR="00E35335" w:rsidRPr="003441C1" w:rsidRDefault="00E35335" w:rsidP="00E35335">
      <w:pPr>
        <w:numPr>
          <w:ilvl w:val="0"/>
          <w:numId w:val="21"/>
        </w:numPr>
        <w:jc w:val="both"/>
        <w:rPr>
          <w:rFonts w:cs="Arial"/>
          <w:szCs w:val="20"/>
        </w:rPr>
      </w:pPr>
      <w:r w:rsidRPr="003441C1">
        <w:rPr>
          <w:rFonts w:cs="Arial"/>
          <w:szCs w:val="20"/>
        </w:rPr>
        <w:t>Tříděný odpad lze také odevzdávat ve sběrn</w:t>
      </w:r>
      <w:r w:rsidR="00371BAD" w:rsidRPr="003441C1">
        <w:rPr>
          <w:rFonts w:cs="Arial"/>
          <w:szCs w:val="20"/>
        </w:rPr>
        <w:t>ých</w:t>
      </w:r>
      <w:r w:rsidRPr="003441C1">
        <w:rPr>
          <w:rFonts w:cs="Arial"/>
          <w:szCs w:val="20"/>
        </w:rPr>
        <w:t xml:space="preserve"> </w:t>
      </w:r>
      <w:r w:rsidR="00371BAD" w:rsidRPr="003441C1">
        <w:rPr>
          <w:rFonts w:cs="Arial"/>
          <w:szCs w:val="20"/>
        </w:rPr>
        <w:t>dvorech</w:t>
      </w:r>
      <w:r w:rsidR="000E1A4B">
        <w:rPr>
          <w:rFonts w:cs="Arial"/>
          <w:szCs w:val="20"/>
        </w:rPr>
        <w:t>, které se řídí</w:t>
      </w:r>
      <w:r w:rsidR="009624A7">
        <w:rPr>
          <w:rFonts w:cs="Arial"/>
          <w:szCs w:val="20"/>
        </w:rPr>
        <w:t xml:space="preserve"> svým</w:t>
      </w:r>
      <w:r w:rsidR="000E1A4B">
        <w:rPr>
          <w:rFonts w:cs="Arial"/>
          <w:szCs w:val="20"/>
        </w:rPr>
        <w:t xml:space="preserve"> provozním řádem</w:t>
      </w:r>
      <w:r w:rsidR="00754DD2">
        <w:rPr>
          <w:rFonts w:cs="Arial"/>
          <w:szCs w:val="20"/>
        </w:rPr>
        <w:t xml:space="preserve">. </w:t>
      </w:r>
      <w:r w:rsidR="001B1E3A">
        <w:rPr>
          <w:rFonts w:cs="Arial"/>
          <w:szCs w:val="20"/>
        </w:rPr>
        <w:t xml:space="preserve">Sběrné dvory jsou místem pro shromažďování odpadu. </w:t>
      </w:r>
      <w:r w:rsidR="00754DD2">
        <w:rPr>
          <w:rFonts w:cs="Arial"/>
          <w:szCs w:val="20"/>
        </w:rPr>
        <w:t>Větve je nutno krátit na délku 1 m. Sběrné dvory</w:t>
      </w:r>
      <w:r w:rsidR="00371BAD" w:rsidRPr="003441C1">
        <w:rPr>
          <w:rFonts w:cs="Arial"/>
          <w:szCs w:val="20"/>
        </w:rPr>
        <w:t xml:space="preserve"> se nacházejí</w:t>
      </w:r>
      <w:r w:rsidRPr="003441C1">
        <w:rPr>
          <w:rFonts w:cs="Arial"/>
          <w:szCs w:val="20"/>
        </w:rPr>
        <w:t xml:space="preserve"> </w:t>
      </w:r>
      <w:r w:rsidR="00371BAD" w:rsidRPr="003441C1">
        <w:rPr>
          <w:rFonts w:cs="Arial"/>
          <w:szCs w:val="20"/>
        </w:rPr>
        <w:t>na ulicích</w:t>
      </w:r>
    </w:p>
    <w:p w:rsidR="00E35335" w:rsidRPr="00304A8D" w:rsidRDefault="00E35335" w:rsidP="00130DB5">
      <w:pPr>
        <w:rPr>
          <w:rFonts w:cs="Arial"/>
          <w:sz w:val="12"/>
          <w:szCs w:val="12"/>
        </w:rPr>
      </w:pPr>
    </w:p>
    <w:p w:rsidR="00371BAD" w:rsidRPr="003441C1" w:rsidRDefault="00371BAD" w:rsidP="00F3069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 w:rsidRPr="003441C1">
        <w:rPr>
          <w:rFonts w:cs="Arial"/>
          <w:bCs/>
          <w:i/>
          <w:color w:val="000000"/>
          <w:szCs w:val="20"/>
        </w:rPr>
        <w:t>Bílovecká v Kylešovicích za železničním nadjezdem</w:t>
      </w:r>
      <w:r w:rsidR="00381AFE">
        <w:rPr>
          <w:rFonts w:cs="Arial"/>
          <w:bCs/>
          <w:i/>
          <w:color w:val="000000"/>
          <w:szCs w:val="20"/>
        </w:rPr>
        <w:t>,</w:t>
      </w:r>
    </w:p>
    <w:p w:rsidR="00371BAD" w:rsidRPr="003441C1" w:rsidRDefault="00371BAD" w:rsidP="00F3069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 w:rsidRPr="003441C1">
        <w:rPr>
          <w:rFonts w:cs="Arial"/>
          <w:bCs/>
          <w:i/>
          <w:color w:val="000000"/>
          <w:szCs w:val="20"/>
        </w:rPr>
        <w:t>Hálková v</w:t>
      </w:r>
      <w:r w:rsidR="00381AFE">
        <w:rPr>
          <w:rFonts w:cs="Arial"/>
          <w:bCs/>
          <w:i/>
          <w:color w:val="000000"/>
          <w:szCs w:val="20"/>
        </w:rPr>
        <w:t> </w:t>
      </w:r>
      <w:r w:rsidRPr="003441C1">
        <w:rPr>
          <w:rFonts w:cs="Arial"/>
          <w:bCs/>
          <w:i/>
          <w:color w:val="000000"/>
          <w:szCs w:val="20"/>
        </w:rPr>
        <w:t>Kateřinách</w:t>
      </w:r>
      <w:r w:rsidR="00381AFE">
        <w:rPr>
          <w:rFonts w:cs="Arial"/>
          <w:bCs/>
          <w:i/>
          <w:color w:val="000000"/>
          <w:szCs w:val="20"/>
        </w:rPr>
        <w:t>,</w:t>
      </w:r>
    </w:p>
    <w:p w:rsidR="00371BAD" w:rsidRDefault="00371BAD" w:rsidP="00F3069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="Arial"/>
          <w:bCs/>
          <w:i/>
          <w:color w:val="000000"/>
          <w:szCs w:val="20"/>
        </w:rPr>
      </w:pPr>
      <w:r w:rsidRPr="003441C1">
        <w:rPr>
          <w:rFonts w:cs="Arial"/>
          <w:bCs/>
          <w:i/>
          <w:color w:val="000000"/>
          <w:szCs w:val="20"/>
        </w:rPr>
        <w:t>Přemyslovců vedle domu č. p. 18 v</w:t>
      </w:r>
      <w:r w:rsidR="00381AFE">
        <w:rPr>
          <w:rFonts w:cs="Arial"/>
          <w:bCs/>
          <w:i/>
          <w:color w:val="000000"/>
          <w:szCs w:val="20"/>
        </w:rPr>
        <w:t> </w:t>
      </w:r>
      <w:r w:rsidR="000E1617" w:rsidRPr="003441C1">
        <w:rPr>
          <w:rFonts w:cs="Arial"/>
          <w:bCs/>
          <w:i/>
          <w:color w:val="000000"/>
          <w:szCs w:val="20"/>
        </w:rPr>
        <w:t>Jaktař</w:t>
      </w:r>
      <w:r w:rsidR="000E1617">
        <w:rPr>
          <w:rFonts w:cs="Arial"/>
          <w:bCs/>
          <w:i/>
          <w:color w:val="000000"/>
          <w:szCs w:val="20"/>
        </w:rPr>
        <w:t>i</w:t>
      </w:r>
      <w:r w:rsidR="00381AFE">
        <w:rPr>
          <w:rFonts w:cs="Arial"/>
          <w:bCs/>
          <w:i/>
          <w:color w:val="000000"/>
          <w:szCs w:val="20"/>
        </w:rPr>
        <w:t>.</w:t>
      </w:r>
    </w:p>
    <w:p w:rsidR="00754DD2" w:rsidRPr="00304A8D" w:rsidRDefault="00754DD2" w:rsidP="00754DD2">
      <w:pPr>
        <w:pStyle w:val="Odstavecseseznamem"/>
        <w:autoSpaceDE w:val="0"/>
        <w:autoSpaceDN w:val="0"/>
        <w:adjustRightInd w:val="0"/>
        <w:rPr>
          <w:rFonts w:cs="Arial"/>
          <w:bCs/>
          <w:i/>
          <w:color w:val="000000"/>
          <w:sz w:val="12"/>
          <w:szCs w:val="12"/>
        </w:rPr>
      </w:pPr>
    </w:p>
    <w:p w:rsidR="00061A98" w:rsidRPr="00061A98" w:rsidRDefault="00061A98" w:rsidP="00585B6A">
      <w:pPr>
        <w:numPr>
          <w:ilvl w:val="0"/>
          <w:numId w:val="21"/>
        </w:numPr>
        <w:spacing w:after="200"/>
        <w:ind w:left="357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 </w:t>
      </w:r>
      <w:r>
        <w:t xml:space="preserve">shromažďování </w:t>
      </w:r>
      <w:r w:rsidR="00381AFE">
        <w:t>biologického odpadu</w:t>
      </w:r>
      <w:r w:rsidR="00BC3ADA">
        <w:t xml:space="preserve"> </w:t>
      </w:r>
      <w:r>
        <w:t xml:space="preserve">jsou určeny </w:t>
      </w:r>
      <w:r w:rsidR="00BC3ADA">
        <w:t>v rámci „jarního</w:t>
      </w:r>
      <w:r w:rsidR="00F30694">
        <w:t xml:space="preserve"> úklidu</w:t>
      </w:r>
      <w:r w:rsidR="00BC3ADA">
        <w:t xml:space="preserve">“ a „podzimního úklidu“ </w:t>
      </w:r>
      <w:r>
        <w:rPr>
          <w:iCs/>
        </w:rPr>
        <w:t>velkoobjemové kontejnery o objemu obvykle 6 m</w:t>
      </w:r>
      <w:r>
        <w:rPr>
          <w:iCs/>
          <w:vertAlign w:val="superscript"/>
        </w:rPr>
        <w:t>3</w:t>
      </w:r>
      <w:r>
        <w:rPr>
          <w:iCs/>
        </w:rPr>
        <w:t>,</w:t>
      </w:r>
      <w:r>
        <w:rPr>
          <w:iCs/>
          <w:vertAlign w:val="superscript"/>
        </w:rPr>
        <w:t xml:space="preserve"> </w:t>
      </w:r>
      <w:r>
        <w:t>které jsou přistavovány na předem vyhlášených přechodných stanovištích. Informace o této aktivitě jsou zveřejňovány ve zpravodaji st</w:t>
      </w:r>
      <w:r w:rsidR="00BC3ADA">
        <w:t>atutárního města Opav</w:t>
      </w:r>
      <w:r w:rsidR="00C860F8">
        <w:t>y</w:t>
      </w:r>
      <w:r w:rsidR="00BC3ADA">
        <w:t xml:space="preserve"> „Hláska“ a na webu města.</w:t>
      </w:r>
    </w:p>
    <w:p w:rsidR="00FB6228" w:rsidRDefault="00FB6228" w:rsidP="00FB6228">
      <w:pPr>
        <w:pStyle w:val="lnekNadpis"/>
      </w:pPr>
    </w:p>
    <w:p w:rsidR="00853044" w:rsidRDefault="00754DD2" w:rsidP="00853044">
      <w:pPr>
        <w:pStyle w:val="lnekNzev"/>
      </w:pPr>
      <w:bookmarkStart w:id="8" w:name="_Toc241659024"/>
      <w:bookmarkStart w:id="9" w:name="_Toc515020739"/>
      <w:bookmarkStart w:id="10" w:name="_Toc89859801"/>
      <w:r>
        <w:rPr>
          <w:rFonts w:ascii="Calibri" w:eastAsia="Times New Roman" w:hAnsi="Calibri"/>
          <w:noProof/>
          <w:sz w:val="22"/>
          <w:szCs w:val="22"/>
          <w:lang w:eastAsia="cs-CZ"/>
        </w:rPr>
        <w:t>Sběr nebezpečných složek komunálního odpadu</w:t>
      </w:r>
      <w:bookmarkEnd w:id="8"/>
      <w:bookmarkEnd w:id="9"/>
      <w:bookmarkEnd w:id="10"/>
    </w:p>
    <w:p w:rsidR="00853044" w:rsidRDefault="00381AFE" w:rsidP="00585B6A">
      <w:pPr>
        <w:pStyle w:val="lnekText"/>
        <w:numPr>
          <w:ilvl w:val="3"/>
          <w:numId w:val="26"/>
        </w:numPr>
        <w:jc w:val="both"/>
      </w:pPr>
      <w:r>
        <w:t>Nebezpečné složky komunálního</w:t>
      </w:r>
      <w:r w:rsidR="000E1A4B">
        <w:t xml:space="preserve"> odpad</w:t>
      </w:r>
      <w:r>
        <w:t>u</w:t>
      </w:r>
      <w:r>
        <w:rPr>
          <w:rStyle w:val="Znakapoznpodarou"/>
        </w:rPr>
        <w:footnoteReference w:id="4"/>
      </w:r>
      <w:r w:rsidR="000E1A4B">
        <w:t xml:space="preserve"> lze odevzdávat ve sběrných dvorech </w:t>
      </w:r>
      <w:r w:rsidR="00C860F8">
        <w:t>(č</w:t>
      </w:r>
      <w:r w:rsidR="000E1A4B">
        <w:t xml:space="preserve">lánek </w:t>
      </w:r>
      <w:r w:rsidR="00F83689">
        <w:t>3</w:t>
      </w:r>
      <w:r w:rsidR="000E1A4B">
        <w:t xml:space="preserve"> odst. </w:t>
      </w:r>
      <w:r w:rsidR="0093730E">
        <w:t xml:space="preserve">6 </w:t>
      </w:r>
      <w:r w:rsidR="00C860F8">
        <w:t>této vyhlášky</w:t>
      </w:r>
      <w:r w:rsidR="003C6DFF">
        <w:t>)</w:t>
      </w:r>
      <w:r w:rsidR="00C860F8">
        <w:t xml:space="preserve"> </w:t>
      </w:r>
      <w:r w:rsidR="000E1A4B">
        <w:t>v souladu s provozním řádem</w:t>
      </w:r>
      <w:r w:rsidR="009624A7" w:rsidRPr="009624A7">
        <w:t xml:space="preserve"> </w:t>
      </w:r>
      <w:r w:rsidR="009624A7" w:rsidRPr="004A648C">
        <w:t>příslušného sběrného dvora</w:t>
      </w:r>
      <w:r w:rsidR="000E1A4B">
        <w:t>.</w:t>
      </w:r>
    </w:p>
    <w:p w:rsidR="00B40E1E" w:rsidRDefault="00B40E1E" w:rsidP="00585B6A">
      <w:pPr>
        <w:pStyle w:val="lnekText"/>
        <w:numPr>
          <w:ilvl w:val="3"/>
          <w:numId w:val="26"/>
        </w:numPr>
        <w:jc w:val="both"/>
      </w:pPr>
      <w:r>
        <w:t xml:space="preserve">Soustřeďování nebezpečných </w:t>
      </w:r>
      <w:r w:rsidR="006C0AA3">
        <w:t>komunálního odpadu podléhá požadavkům stanoveným v </w:t>
      </w:r>
      <w:r w:rsidR="00C860F8">
        <w:t>č</w:t>
      </w:r>
      <w:r w:rsidR="006C0AA3">
        <w:t>l</w:t>
      </w:r>
      <w:r w:rsidR="00F75925">
        <w:t>ánku</w:t>
      </w:r>
      <w:r w:rsidR="006C0AA3">
        <w:t xml:space="preserve"> </w:t>
      </w:r>
      <w:r w:rsidR="00F75925">
        <w:t>3 odst. </w:t>
      </w:r>
      <w:r w:rsidR="0093730E">
        <w:t xml:space="preserve">4 </w:t>
      </w:r>
      <w:r w:rsidR="00F75925">
        <w:t>a</w:t>
      </w:r>
      <w:r w:rsidR="0093730E">
        <w:t>ž</w:t>
      </w:r>
      <w:r w:rsidR="00F75925">
        <w:t xml:space="preserve"> 6</w:t>
      </w:r>
      <w:r w:rsidR="00C860F8">
        <w:t xml:space="preserve"> této vyhlášky</w:t>
      </w:r>
      <w:r w:rsidR="00F75925">
        <w:t>.</w:t>
      </w:r>
    </w:p>
    <w:p w:rsidR="004573BA" w:rsidRDefault="004573BA" w:rsidP="000E1A4B">
      <w:pPr>
        <w:pStyle w:val="lnekNadpis"/>
      </w:pPr>
    </w:p>
    <w:p w:rsidR="000E1A4B" w:rsidRDefault="000E1A4B" w:rsidP="000E1A4B">
      <w:pPr>
        <w:pStyle w:val="lnekNzev"/>
      </w:pPr>
      <w:bookmarkStart w:id="11" w:name="_Toc89859802"/>
      <w:r>
        <w:t>Sběr objemného odpadu</w:t>
      </w:r>
      <w:bookmarkEnd w:id="11"/>
    </w:p>
    <w:p w:rsidR="000E1A4B" w:rsidRDefault="000E1A4B" w:rsidP="00585B6A">
      <w:pPr>
        <w:pStyle w:val="lnekText"/>
        <w:numPr>
          <w:ilvl w:val="3"/>
          <w:numId w:val="27"/>
        </w:numPr>
        <w:jc w:val="both"/>
      </w:pPr>
      <w:r>
        <w:t xml:space="preserve">Sběr je zajišťován na sběrných dvorech </w:t>
      </w:r>
      <w:r w:rsidR="00C860F8">
        <w:t>(č</w:t>
      </w:r>
      <w:r>
        <w:t xml:space="preserve">lánek </w:t>
      </w:r>
      <w:r w:rsidR="00F83689">
        <w:t>3</w:t>
      </w:r>
      <w:r>
        <w:t xml:space="preserve"> odst. </w:t>
      </w:r>
      <w:r w:rsidR="0093730E">
        <w:t xml:space="preserve">6 </w:t>
      </w:r>
      <w:r w:rsidR="00C860F8">
        <w:t>této vyhlášky)</w:t>
      </w:r>
      <w:r>
        <w:t xml:space="preserve"> v souladu s  provozním řádem</w:t>
      </w:r>
      <w:r w:rsidR="009624A7" w:rsidRPr="009624A7">
        <w:t xml:space="preserve"> </w:t>
      </w:r>
      <w:r w:rsidR="009624A7" w:rsidRPr="004A648C">
        <w:t>příslušného sběrného dvora</w:t>
      </w:r>
      <w:r>
        <w:t>.</w:t>
      </w:r>
    </w:p>
    <w:p w:rsidR="00F75925" w:rsidRDefault="00F75925" w:rsidP="00585B6A">
      <w:pPr>
        <w:pStyle w:val="lnekText"/>
        <w:numPr>
          <w:ilvl w:val="3"/>
          <w:numId w:val="27"/>
        </w:numPr>
        <w:jc w:val="both"/>
      </w:pPr>
      <w:r>
        <w:t>Soustřeďování objemného odpadu podléhá požadavkům stanoveným v </w:t>
      </w:r>
      <w:r w:rsidR="00C860F8">
        <w:t>č</w:t>
      </w:r>
      <w:r>
        <w:t>lánku 3 odst. </w:t>
      </w:r>
      <w:r w:rsidR="0093730E">
        <w:t xml:space="preserve">4 </w:t>
      </w:r>
      <w:r>
        <w:t>a</w:t>
      </w:r>
      <w:r w:rsidR="0093730E">
        <w:t>ž</w:t>
      </w:r>
      <w:r>
        <w:t xml:space="preserve"> 6</w:t>
      </w:r>
      <w:r w:rsidR="00C860F8">
        <w:t xml:space="preserve"> této vyhlášky</w:t>
      </w:r>
      <w:r>
        <w:t>.</w:t>
      </w:r>
    </w:p>
    <w:p w:rsidR="00CF6481" w:rsidRDefault="00CF6481" w:rsidP="00304A8D">
      <w:pPr>
        <w:pStyle w:val="lnekNadpis"/>
      </w:pPr>
    </w:p>
    <w:p w:rsidR="00CF6481" w:rsidRDefault="00CF6481" w:rsidP="00304A8D">
      <w:pPr>
        <w:pStyle w:val="lnekNzev"/>
      </w:pPr>
      <w:bookmarkStart w:id="12" w:name="_Toc89859803"/>
      <w:r>
        <w:t>Shromažďování směsného komunálního odpadu</w:t>
      </w:r>
      <w:bookmarkEnd w:id="12"/>
    </w:p>
    <w:p w:rsidR="00585B6A" w:rsidRPr="00585B6A" w:rsidRDefault="00CF6481" w:rsidP="00585B6A">
      <w:pPr>
        <w:pStyle w:val="lnekText"/>
        <w:numPr>
          <w:ilvl w:val="3"/>
          <w:numId w:val="29"/>
        </w:numPr>
        <w:jc w:val="both"/>
        <w:rPr>
          <w:i/>
        </w:rPr>
      </w:pPr>
      <w:r w:rsidRPr="009624A7">
        <w:t>Směsný komunální odpad se shromažďuje do sběrných nádob. Pro účely této vyhlášky se</w:t>
      </w:r>
      <w:r w:rsidR="007C1EF4" w:rsidRPr="00283F69">
        <w:t xml:space="preserve"> </w:t>
      </w:r>
      <w:r w:rsidRPr="00283F69">
        <w:t>sběrnými nádob</w:t>
      </w:r>
      <w:r w:rsidR="007C1EF4" w:rsidRPr="00A534E0">
        <w:t>a</w:t>
      </w:r>
      <w:r w:rsidRPr="00A534E0">
        <w:t>mi rozumějí</w:t>
      </w:r>
      <w:r w:rsidR="00585B6A">
        <w:t>:</w:t>
      </w:r>
    </w:p>
    <w:p w:rsidR="00585B6A" w:rsidRPr="00585B6A" w:rsidRDefault="00585B6A" w:rsidP="00585B6A">
      <w:pPr>
        <w:pStyle w:val="lnekText"/>
        <w:numPr>
          <w:ilvl w:val="4"/>
          <w:numId w:val="29"/>
        </w:numPr>
        <w:jc w:val="both"/>
        <w:rPr>
          <w:i/>
        </w:rPr>
      </w:pPr>
      <w:r w:rsidRPr="00A33BF4">
        <w:rPr>
          <w:i/>
        </w:rPr>
        <w:t xml:space="preserve">typizované </w:t>
      </w:r>
      <w:r w:rsidRPr="00A33BF4">
        <w:rPr>
          <w:rFonts w:cs="Arial"/>
          <w:bCs/>
          <w:i/>
          <w:szCs w:val="20"/>
        </w:rPr>
        <w:t>sběrné nádoby, tj. nádoby o objemu 110 l, 120 l, 240 l a kontejnery o objemu 1100 l umístěné v souladu se zvláštními předpisy</w:t>
      </w:r>
      <w:r w:rsidRPr="00A33BF4">
        <w:rPr>
          <w:rStyle w:val="Znakapoznpodarou"/>
          <w:rFonts w:cs="Arial"/>
          <w:bCs/>
          <w:i/>
          <w:szCs w:val="20"/>
        </w:rPr>
        <w:footnoteReference w:id="5"/>
      </w:r>
      <w:r w:rsidRPr="00A33BF4">
        <w:rPr>
          <w:rFonts w:cs="Arial"/>
          <w:bCs/>
          <w:i/>
          <w:szCs w:val="20"/>
        </w:rPr>
        <w:t>,</w:t>
      </w:r>
    </w:p>
    <w:p w:rsidR="00585B6A" w:rsidRDefault="00585B6A" w:rsidP="00585B6A">
      <w:pPr>
        <w:pStyle w:val="lnekText"/>
        <w:numPr>
          <w:ilvl w:val="4"/>
          <w:numId w:val="29"/>
        </w:numPr>
        <w:jc w:val="both"/>
        <w:rPr>
          <w:i/>
        </w:rPr>
      </w:pPr>
      <w:r w:rsidRPr="00A33BF4">
        <w:rPr>
          <w:i/>
        </w:rPr>
        <w:t>odpadkové koše, které jsou umístěny na veřejných prostranstvích, sloužící pro odkládání drobného</w:t>
      </w:r>
      <w:r>
        <w:rPr>
          <w:i/>
        </w:rPr>
        <w:t xml:space="preserve"> </w:t>
      </w:r>
      <w:r w:rsidRPr="00A33BF4">
        <w:rPr>
          <w:i/>
        </w:rPr>
        <w:t>směsného komunálního odpadu.</w:t>
      </w:r>
    </w:p>
    <w:p w:rsidR="00A33BF4" w:rsidRDefault="00381AFE" w:rsidP="00761DD4">
      <w:pPr>
        <w:pStyle w:val="lnekText"/>
        <w:numPr>
          <w:ilvl w:val="3"/>
          <w:numId w:val="29"/>
        </w:numPr>
        <w:jc w:val="both"/>
      </w:pPr>
      <w:r>
        <w:t xml:space="preserve">Sběrné nádoby dle </w:t>
      </w:r>
      <w:r w:rsidR="00BA3562">
        <w:t xml:space="preserve">odst. </w:t>
      </w:r>
      <w:r w:rsidR="00262120">
        <w:t>1</w:t>
      </w:r>
      <w:r w:rsidR="008141AF">
        <w:t>)</w:t>
      </w:r>
      <w:r>
        <w:t xml:space="preserve"> </w:t>
      </w:r>
      <w:r w:rsidR="00262120">
        <w:t xml:space="preserve">tohoto článku </w:t>
      </w:r>
      <w:r>
        <w:t xml:space="preserve">musí být zajištěny v dostatečném počtu a přistaveny </w:t>
      </w:r>
      <w:r w:rsidR="00B52E23">
        <w:t xml:space="preserve">pouze </w:t>
      </w:r>
      <w:r>
        <w:t>na nezbytně nutnou dobu v určené dny na určená místa, kde shromážděný odpad ze sběrných nádob převezme svozová společnost.</w:t>
      </w:r>
    </w:p>
    <w:p w:rsidR="00756E5D" w:rsidRDefault="00756E5D" w:rsidP="00761DD4">
      <w:pPr>
        <w:pStyle w:val="lnekText"/>
        <w:numPr>
          <w:ilvl w:val="3"/>
          <w:numId w:val="29"/>
        </w:numPr>
        <w:jc w:val="both"/>
      </w:pPr>
      <w:r w:rsidRPr="00756E5D">
        <w:t xml:space="preserve">Dostatečným objemem sběrné nádoby na </w:t>
      </w:r>
      <w:r w:rsidR="008141AF">
        <w:t xml:space="preserve">směsný </w:t>
      </w:r>
      <w:r w:rsidR="00D95751">
        <w:t xml:space="preserve">komunální </w:t>
      </w:r>
      <w:r w:rsidR="00D95751" w:rsidRPr="00756E5D">
        <w:t>odpad</w:t>
      </w:r>
      <w:r w:rsidRPr="00756E5D">
        <w:t xml:space="preserve"> </w:t>
      </w:r>
      <w:r w:rsidR="009E1399">
        <w:t>je</w:t>
      </w:r>
      <w:r w:rsidRPr="00756E5D">
        <w:t xml:space="preserve"> takový vnitřní objem sběrné nádoby nebo součet vnitřních objemů sběrných nádob, který při dané frekvenci svozu odpadu a</w:t>
      </w:r>
      <w:r w:rsidR="009624A7">
        <w:t> </w:t>
      </w:r>
      <w:r w:rsidRPr="00756E5D">
        <w:t xml:space="preserve">při daném počtu osob užívajících objekt umožňuje uložit veškerý </w:t>
      </w:r>
      <w:r w:rsidR="008141AF">
        <w:t>směsný komunální</w:t>
      </w:r>
      <w:r w:rsidRPr="00756E5D">
        <w:t xml:space="preserve"> odpad vznikající při provozu domácnosti do sběrné nádoby. Doporučený dostatečný objem je 30 litrů na osobu a týden</w:t>
      </w:r>
      <w:r w:rsidR="008141AF">
        <w:t>.</w:t>
      </w:r>
    </w:p>
    <w:p w:rsidR="00513CA6" w:rsidRDefault="00513CA6" w:rsidP="00513CA6">
      <w:pPr>
        <w:pStyle w:val="lnekNadpis"/>
      </w:pPr>
    </w:p>
    <w:p w:rsidR="00262120" w:rsidRDefault="00262120" w:rsidP="00262120">
      <w:pPr>
        <w:pStyle w:val="lnekNzev"/>
      </w:pPr>
      <w:bookmarkStart w:id="13" w:name="_Toc89859804"/>
      <w:r>
        <w:t>Nakládání s výrobky s ukončenou životností v rámci služby pro výrobce</w:t>
      </w:r>
      <w:bookmarkEnd w:id="13"/>
    </w:p>
    <w:p w:rsidR="00513CA6" w:rsidRDefault="00262120" w:rsidP="00262120">
      <w:pPr>
        <w:pStyle w:val="lnekNzev"/>
      </w:pPr>
      <w:bookmarkStart w:id="14" w:name="_Toc89859805"/>
      <w:r>
        <w:t>(zpětný odběr)</w:t>
      </w:r>
      <w:bookmarkEnd w:id="14"/>
    </w:p>
    <w:p w:rsidR="00513CA6" w:rsidRPr="00585B6A" w:rsidRDefault="00262120" w:rsidP="004D68D1">
      <w:pPr>
        <w:pStyle w:val="lnekText"/>
        <w:numPr>
          <w:ilvl w:val="3"/>
          <w:numId w:val="35"/>
        </w:numPr>
        <w:jc w:val="both"/>
        <w:rPr>
          <w:i/>
        </w:rPr>
      </w:pPr>
      <w:r>
        <w:t>Město v rámci služby pro výrobce nakládá s</w:t>
      </w:r>
      <w:r w:rsidR="004D68D1">
        <w:t> </w:t>
      </w:r>
      <w:r>
        <w:t>těmito</w:t>
      </w:r>
      <w:r w:rsidR="004D68D1">
        <w:t xml:space="preserve"> výrobky s ukončenou životností</w:t>
      </w:r>
      <w:r w:rsidR="00513CA6">
        <w:t>:</w:t>
      </w:r>
    </w:p>
    <w:p w:rsidR="00513CA6" w:rsidRPr="00585B6A" w:rsidRDefault="004D68D1" w:rsidP="004D68D1">
      <w:pPr>
        <w:pStyle w:val="lnekText"/>
        <w:numPr>
          <w:ilvl w:val="4"/>
          <w:numId w:val="35"/>
        </w:numPr>
        <w:jc w:val="both"/>
        <w:rPr>
          <w:i/>
        </w:rPr>
      </w:pPr>
      <w:r>
        <w:rPr>
          <w:i/>
        </w:rPr>
        <w:t>elektrozařízení</w:t>
      </w:r>
      <w:r w:rsidR="00513CA6" w:rsidRPr="00A33BF4">
        <w:rPr>
          <w:rFonts w:cs="Arial"/>
          <w:bCs/>
          <w:i/>
          <w:szCs w:val="20"/>
        </w:rPr>
        <w:t>,</w:t>
      </w:r>
    </w:p>
    <w:p w:rsidR="00513CA6" w:rsidRDefault="004D68D1" w:rsidP="004D68D1">
      <w:pPr>
        <w:pStyle w:val="lnekText"/>
        <w:numPr>
          <w:ilvl w:val="4"/>
          <w:numId w:val="35"/>
        </w:numPr>
        <w:jc w:val="both"/>
        <w:rPr>
          <w:i/>
        </w:rPr>
      </w:pPr>
      <w:r>
        <w:rPr>
          <w:i/>
        </w:rPr>
        <w:t>baterie a akumulátory,</w:t>
      </w:r>
    </w:p>
    <w:p w:rsidR="004D68D1" w:rsidRDefault="004D68D1" w:rsidP="004D68D1">
      <w:pPr>
        <w:pStyle w:val="lnekText"/>
        <w:numPr>
          <w:ilvl w:val="4"/>
          <w:numId w:val="35"/>
        </w:numPr>
        <w:jc w:val="both"/>
        <w:rPr>
          <w:i/>
        </w:rPr>
      </w:pPr>
      <w:r>
        <w:rPr>
          <w:i/>
        </w:rPr>
        <w:t>pneumatiky</w:t>
      </w:r>
      <w:r w:rsidR="001107F6">
        <w:rPr>
          <w:i/>
        </w:rPr>
        <w:t>.</w:t>
      </w:r>
    </w:p>
    <w:p w:rsidR="004D68D1" w:rsidRDefault="004D68D1" w:rsidP="004D68D1">
      <w:pPr>
        <w:pStyle w:val="lnekText"/>
        <w:numPr>
          <w:ilvl w:val="3"/>
          <w:numId w:val="35"/>
        </w:numPr>
        <w:jc w:val="both"/>
      </w:pPr>
      <w:r>
        <w:t xml:space="preserve">Výrobky s ukončenou životností uvedené v odst. 1 lze předávat </w:t>
      </w:r>
    </w:p>
    <w:p w:rsidR="00513CA6" w:rsidRPr="00E51BCB" w:rsidRDefault="004D68D1" w:rsidP="004D68D1">
      <w:pPr>
        <w:pStyle w:val="lnekText"/>
        <w:numPr>
          <w:ilvl w:val="3"/>
          <w:numId w:val="36"/>
        </w:numPr>
        <w:tabs>
          <w:tab w:val="num" w:pos="709"/>
        </w:tabs>
        <w:ind w:left="709" w:hanging="283"/>
        <w:jc w:val="both"/>
        <w:rPr>
          <w:i/>
        </w:rPr>
      </w:pPr>
      <w:r w:rsidRPr="00E51BCB">
        <w:rPr>
          <w:i/>
        </w:rPr>
        <w:t>ve vybraných prodejnách, které zajišťují zpětný odběr těchto výrobků,</w:t>
      </w:r>
    </w:p>
    <w:p w:rsidR="004D68D1" w:rsidRPr="00E51BCB" w:rsidRDefault="004D68D1" w:rsidP="004D68D1">
      <w:pPr>
        <w:pStyle w:val="lnekText"/>
        <w:numPr>
          <w:ilvl w:val="3"/>
          <w:numId w:val="36"/>
        </w:numPr>
        <w:tabs>
          <w:tab w:val="num" w:pos="709"/>
        </w:tabs>
        <w:ind w:left="709" w:hanging="283"/>
        <w:jc w:val="both"/>
        <w:rPr>
          <w:i/>
        </w:rPr>
      </w:pPr>
      <w:r w:rsidRPr="00E51BCB">
        <w:rPr>
          <w:i/>
        </w:rPr>
        <w:t xml:space="preserve">ve sběrných dvorech </w:t>
      </w:r>
      <w:r w:rsidR="001107F6">
        <w:rPr>
          <w:i/>
        </w:rPr>
        <w:t>(č</w:t>
      </w:r>
      <w:r w:rsidRPr="00E51BCB">
        <w:rPr>
          <w:i/>
        </w:rPr>
        <w:t xml:space="preserve">lánek 3 odst. </w:t>
      </w:r>
      <w:r w:rsidR="0093730E">
        <w:rPr>
          <w:i/>
        </w:rPr>
        <w:t xml:space="preserve">6 </w:t>
      </w:r>
      <w:r w:rsidR="001107F6">
        <w:rPr>
          <w:i/>
        </w:rPr>
        <w:t>této vyhlášky)</w:t>
      </w:r>
      <w:r w:rsidRPr="00E51BCB">
        <w:rPr>
          <w:i/>
        </w:rPr>
        <w:t xml:space="preserve"> v souladu s  provozním řádem příslušného sběrného dvora</w:t>
      </w:r>
      <w:r w:rsidR="001107F6">
        <w:rPr>
          <w:i/>
        </w:rPr>
        <w:t>,</w:t>
      </w:r>
    </w:p>
    <w:p w:rsidR="004D68D1" w:rsidRPr="00E51BCB" w:rsidRDefault="00E51BCB" w:rsidP="004D68D1">
      <w:pPr>
        <w:pStyle w:val="lnekText"/>
        <w:numPr>
          <w:ilvl w:val="3"/>
          <w:numId w:val="36"/>
        </w:numPr>
        <w:tabs>
          <w:tab w:val="num" w:pos="709"/>
        </w:tabs>
        <w:ind w:left="709" w:hanging="283"/>
        <w:jc w:val="both"/>
        <w:rPr>
          <w:i/>
        </w:rPr>
      </w:pPr>
      <w:r w:rsidRPr="00E51BCB">
        <w:rPr>
          <w:i/>
        </w:rPr>
        <w:t>drobné elektrozařízení vyjma monitorů lze vkládat do červených kontejnerů s označením „Elekro zařízení“.</w:t>
      </w:r>
    </w:p>
    <w:p w:rsidR="00F10FC9" w:rsidRDefault="00F10FC9" w:rsidP="00E51BCB">
      <w:pPr>
        <w:pStyle w:val="lnekNadpis"/>
      </w:pPr>
    </w:p>
    <w:p w:rsidR="004A648C" w:rsidRDefault="004A648C" w:rsidP="004A648C">
      <w:pPr>
        <w:pStyle w:val="lnekNzev"/>
      </w:pPr>
      <w:bookmarkStart w:id="15" w:name="_Toc89859806"/>
      <w:r>
        <w:t>Nakládání se stavebním odpadem</w:t>
      </w:r>
      <w:bookmarkEnd w:id="15"/>
    </w:p>
    <w:p w:rsidR="004A648C" w:rsidRDefault="004A648C" w:rsidP="00761DD4">
      <w:pPr>
        <w:pStyle w:val="lnekText"/>
        <w:numPr>
          <w:ilvl w:val="3"/>
          <w:numId w:val="32"/>
        </w:numPr>
        <w:jc w:val="both"/>
      </w:pPr>
      <w:r>
        <w:t xml:space="preserve">Stavebním </w:t>
      </w:r>
      <w:r w:rsidR="00E51BCB">
        <w:t xml:space="preserve">a demoličním </w:t>
      </w:r>
      <w:r w:rsidRPr="004A648C">
        <w:t xml:space="preserve">odpadem se rozumí </w:t>
      </w:r>
      <w:r w:rsidR="00E51BCB">
        <w:t xml:space="preserve">odpad vznikající při </w:t>
      </w:r>
      <w:r w:rsidRPr="004A648C">
        <w:t>stavební</w:t>
      </w:r>
      <w:r w:rsidR="00E51BCB">
        <w:t>ch</w:t>
      </w:r>
      <w:r w:rsidRPr="004A648C">
        <w:t xml:space="preserve"> a demoliční</w:t>
      </w:r>
      <w:r w:rsidR="00E51BCB">
        <w:t xml:space="preserve">ch </w:t>
      </w:r>
      <w:r w:rsidR="00815E14">
        <w:t>činnostech nepodnikajících fyzických osob</w:t>
      </w:r>
      <w:r w:rsidRPr="004A648C">
        <w:t xml:space="preserve">. Stavební </w:t>
      </w:r>
      <w:r w:rsidR="00815E14">
        <w:t xml:space="preserve">a demoliční </w:t>
      </w:r>
      <w:r w:rsidRPr="004A648C">
        <w:t>odpad není odpadem komunálním.</w:t>
      </w:r>
    </w:p>
    <w:p w:rsidR="007C59C9" w:rsidRDefault="004A648C" w:rsidP="007C59C9">
      <w:pPr>
        <w:pStyle w:val="lnekText"/>
        <w:numPr>
          <w:ilvl w:val="3"/>
          <w:numId w:val="32"/>
        </w:numPr>
        <w:jc w:val="both"/>
      </w:pPr>
      <w:r>
        <w:t xml:space="preserve">Stavební </w:t>
      </w:r>
      <w:r w:rsidR="00815E14">
        <w:t>a demoliční odpad</w:t>
      </w:r>
      <w:r w:rsidRPr="004A648C">
        <w:t xml:space="preserve"> lze </w:t>
      </w:r>
      <w:r w:rsidR="00815E14">
        <w:t xml:space="preserve">předávat ve sběrných dvorech </w:t>
      </w:r>
      <w:r w:rsidR="001107F6">
        <w:t>(č</w:t>
      </w:r>
      <w:r w:rsidR="00815E14">
        <w:t xml:space="preserve">lánek 3 odst. </w:t>
      </w:r>
      <w:r w:rsidR="0093730E">
        <w:t xml:space="preserve">6 </w:t>
      </w:r>
      <w:r w:rsidR="001107F6">
        <w:t>této vyhlášky)</w:t>
      </w:r>
      <w:r w:rsidR="00336D54">
        <w:t xml:space="preserve"> v souladu s </w:t>
      </w:r>
      <w:r w:rsidR="00815E14">
        <w:t>provozním řádem</w:t>
      </w:r>
      <w:r w:rsidR="00815E14" w:rsidRPr="009624A7">
        <w:t xml:space="preserve"> </w:t>
      </w:r>
      <w:r w:rsidR="00815E14" w:rsidRPr="004A648C">
        <w:t>příslušného sběrného dvora</w:t>
      </w:r>
      <w:r w:rsidRPr="004A648C">
        <w:t xml:space="preserve"> v množství </w:t>
      </w:r>
      <w:r w:rsidRPr="00AF5E22">
        <w:t>do 100 kg/osobu/měsíc</w:t>
      </w:r>
      <w:r w:rsidR="008141AF" w:rsidRPr="00AF5E22">
        <w:t>.</w:t>
      </w:r>
      <w:r w:rsidR="00E554F9" w:rsidRPr="00AF5E22">
        <w:t xml:space="preserve"> </w:t>
      </w:r>
    </w:p>
    <w:p w:rsidR="004A648C" w:rsidRDefault="00336D54" w:rsidP="007C59C9">
      <w:pPr>
        <w:pStyle w:val="lnekText"/>
        <w:numPr>
          <w:ilvl w:val="3"/>
          <w:numId w:val="32"/>
        </w:numPr>
        <w:jc w:val="both"/>
      </w:pPr>
      <w:r w:rsidRPr="00AF5E22">
        <w:t xml:space="preserve">Na sběrných dvorech nelze odevzdávat stavební odpad kategorie nebezpečný odpad, např. eternit </w:t>
      </w:r>
      <w:r w:rsidR="00F30694">
        <w:br/>
      </w:r>
      <w:r w:rsidRPr="00AF5E22">
        <w:t>a lepenku.</w:t>
      </w:r>
    </w:p>
    <w:p w:rsidR="00756E5D" w:rsidRDefault="00756E5D" w:rsidP="00756E5D">
      <w:pPr>
        <w:pStyle w:val="lnekNadpis"/>
      </w:pPr>
    </w:p>
    <w:p w:rsidR="00756E5D" w:rsidRDefault="00756E5D" w:rsidP="00756E5D">
      <w:pPr>
        <w:pStyle w:val="lnekNzev"/>
      </w:pPr>
      <w:bookmarkStart w:id="16" w:name="_Toc89859807"/>
      <w:r>
        <w:t>Závěrečná ustanovení</w:t>
      </w:r>
      <w:bookmarkEnd w:id="16"/>
    </w:p>
    <w:p w:rsidR="00756E5D" w:rsidRDefault="00756E5D" w:rsidP="00761DD4">
      <w:pPr>
        <w:pStyle w:val="lnekText"/>
        <w:numPr>
          <w:ilvl w:val="3"/>
          <w:numId w:val="33"/>
        </w:numPr>
        <w:jc w:val="both"/>
      </w:pPr>
      <w:r>
        <w:t xml:space="preserve">Nabytím </w:t>
      </w:r>
      <w:r w:rsidRPr="00756E5D">
        <w:t>účinnosti této obecně závazné vyhlášky se zrušuje Obecn</w:t>
      </w:r>
      <w:r w:rsidR="00012A42">
        <w:t xml:space="preserve">ě závazná vyhláška č. </w:t>
      </w:r>
      <w:r w:rsidR="00815E14">
        <w:t>9</w:t>
      </w:r>
      <w:r w:rsidR="00012A42">
        <w:t>/201</w:t>
      </w:r>
      <w:r w:rsidR="00815E14">
        <w:t>8</w:t>
      </w:r>
      <w:r w:rsidR="00012A42">
        <w:t>, o </w:t>
      </w:r>
      <w:r w:rsidRPr="00756E5D">
        <w:t>systému shromažďování, sběru, přepravy, třídění, využívání a odstraňování komunálního odpadu včetně systému nakládání se stavebním odpadem na území statutárního města Opav</w:t>
      </w:r>
      <w:r w:rsidR="009624A7">
        <w:t>a</w:t>
      </w:r>
      <w:r w:rsidRPr="00756E5D">
        <w:t>.</w:t>
      </w:r>
    </w:p>
    <w:p w:rsidR="00756E5D" w:rsidRDefault="00756E5D" w:rsidP="00A33BF4">
      <w:pPr>
        <w:pStyle w:val="lnekText"/>
        <w:numPr>
          <w:ilvl w:val="3"/>
          <w:numId w:val="33"/>
        </w:numPr>
      </w:pPr>
      <w:r>
        <w:t xml:space="preserve">Tato </w:t>
      </w:r>
      <w:r w:rsidRPr="00756E5D">
        <w:t>obecně závazn</w:t>
      </w:r>
      <w:r w:rsidR="009624A7">
        <w:t>á</w:t>
      </w:r>
      <w:r w:rsidRPr="00756E5D">
        <w:t xml:space="preserve"> vyhlášk</w:t>
      </w:r>
      <w:r w:rsidR="00AC4506">
        <w:t>a</w:t>
      </w:r>
      <w:r w:rsidRPr="00756E5D">
        <w:t xml:space="preserve"> </w:t>
      </w:r>
      <w:r w:rsidR="004476C5">
        <w:t>nabývá účinnosti dne 01.</w:t>
      </w:r>
      <w:r w:rsidR="001107F6">
        <w:t xml:space="preserve"> </w:t>
      </w:r>
      <w:r w:rsidR="00BD5598">
        <w:t>01</w:t>
      </w:r>
      <w:r w:rsidR="004476C5">
        <w:t>.</w:t>
      </w:r>
      <w:r w:rsidR="001107F6">
        <w:t xml:space="preserve"> </w:t>
      </w:r>
      <w:r w:rsidR="00AC4506" w:rsidRPr="00AC4506">
        <w:t>20</w:t>
      </w:r>
      <w:r w:rsidR="00815E14">
        <w:t>2</w:t>
      </w:r>
      <w:r w:rsidR="00BD5598">
        <w:t>2</w:t>
      </w:r>
      <w:r w:rsidR="00AC4506" w:rsidRPr="00AC4506">
        <w:t>.</w:t>
      </w:r>
    </w:p>
    <w:p w:rsidR="00853044" w:rsidRDefault="00853044" w:rsidP="00663376">
      <w:pPr>
        <w:pStyle w:val="Podtren"/>
      </w:pPr>
    </w:p>
    <w:p w:rsidR="00853044" w:rsidRDefault="00853044" w:rsidP="00663376">
      <w:pPr>
        <w:pStyle w:val="Podtren"/>
      </w:pPr>
    </w:p>
    <w:p w:rsidR="00853044" w:rsidRDefault="00853044" w:rsidP="00663376">
      <w:pPr>
        <w:pStyle w:val="Podtren"/>
      </w:pPr>
    </w:p>
    <w:p w:rsidR="00853044" w:rsidRDefault="00853044" w:rsidP="00663376">
      <w:pPr>
        <w:pStyle w:val="Podtren"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7E1987">
        <w:t xml:space="preserve">Ing. </w:t>
      </w:r>
      <w:r w:rsidR="008E232C">
        <w:t>Tomáš Navrátil</w:t>
      </w:r>
      <w:r w:rsidR="00F30694">
        <w:t xml:space="preserve"> v. r. </w:t>
      </w:r>
      <w:r>
        <w:tab/>
      </w:r>
      <w:r w:rsidR="00F30694">
        <w:t xml:space="preserve">Ing. Michal Kokošek v. r. </w:t>
      </w:r>
    </w:p>
    <w:p w:rsidR="00663376" w:rsidRDefault="00663376" w:rsidP="00663376">
      <w:pPr>
        <w:pStyle w:val="Podpis"/>
      </w:pPr>
      <w:r>
        <w:tab/>
      </w:r>
      <w:r w:rsidR="007E1987">
        <w:t>primátor</w:t>
      </w:r>
      <w:r>
        <w:tab/>
      </w:r>
      <w:r w:rsidR="001107F6">
        <w:t xml:space="preserve">1. </w:t>
      </w:r>
      <w:r w:rsidR="007E1987">
        <w:t>náměstek primátora</w:t>
      </w:r>
    </w:p>
    <w:p w:rsidR="00B07784" w:rsidRDefault="00B07784" w:rsidP="00663376">
      <w:pPr>
        <w:pStyle w:val="Podpis"/>
      </w:pPr>
    </w:p>
    <w:p w:rsidR="00B07784" w:rsidRDefault="00B07784" w:rsidP="00663376">
      <w:pPr>
        <w:pStyle w:val="Podpis"/>
      </w:pPr>
    </w:p>
    <w:p w:rsidR="00B07784" w:rsidRDefault="00B07784" w:rsidP="00663376">
      <w:pPr>
        <w:pStyle w:val="Podpis"/>
      </w:pPr>
    </w:p>
    <w:p w:rsidR="00B07784" w:rsidRDefault="00B07784" w:rsidP="00663376">
      <w:pPr>
        <w:pStyle w:val="Podpis"/>
      </w:pPr>
    </w:p>
    <w:sectPr w:rsidR="00B07784" w:rsidSect="00585B6A">
      <w:footerReference w:type="default" r:id="rId9"/>
      <w:headerReference w:type="first" r:id="rId10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9A8" w:rsidRDefault="00DD39A8" w:rsidP="00022C2A">
      <w:r>
        <w:separator/>
      </w:r>
    </w:p>
  </w:endnote>
  <w:endnote w:type="continuationSeparator" w:id="0">
    <w:p w:rsidR="00DD39A8" w:rsidRDefault="00DD39A8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F4" w:rsidRPr="00F353C9" w:rsidRDefault="007C1EF4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4E28A4">
      <w:rPr>
        <w:noProof/>
        <w:sz w:val="14"/>
        <w:szCs w:val="14"/>
      </w:rPr>
      <w:t>2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4E28A4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9A8" w:rsidRDefault="00DD39A8" w:rsidP="00022C2A">
      <w:r>
        <w:separator/>
      </w:r>
    </w:p>
  </w:footnote>
  <w:footnote w:type="continuationSeparator" w:id="0">
    <w:p w:rsidR="00DD39A8" w:rsidRDefault="00DD39A8" w:rsidP="00022C2A">
      <w:r>
        <w:continuationSeparator/>
      </w:r>
    </w:p>
  </w:footnote>
  <w:footnote w:id="1">
    <w:p w:rsidR="00B62FA1" w:rsidRPr="00B62FA1" w:rsidRDefault="00B62FA1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62FA1">
        <w:rPr>
          <w:sz w:val="16"/>
          <w:szCs w:val="16"/>
        </w:rPr>
        <w:t>§ 61 zákona o odpadech</w:t>
      </w:r>
    </w:p>
  </w:footnote>
  <w:footnote w:id="2">
    <w:p w:rsidR="00B62FA1" w:rsidRDefault="00B62F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62FA1">
        <w:rPr>
          <w:sz w:val="16"/>
          <w:szCs w:val="16"/>
        </w:rPr>
        <w:t>§ 60 zákona o odpadech</w:t>
      </w:r>
    </w:p>
  </w:footnote>
  <w:footnote w:id="3">
    <w:p w:rsidR="00BC3ADA" w:rsidRDefault="00BC3ADA" w:rsidP="00C860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Z</w:t>
      </w:r>
      <w:r w:rsidRPr="00E054B2">
        <w:rPr>
          <w:sz w:val="16"/>
          <w:szCs w:val="16"/>
        </w:rPr>
        <w:t>ákon č. 13/1997 Sb., o pozemních komunikacích, ve znění pozdějších předpisů</w:t>
      </w:r>
      <w:r>
        <w:rPr>
          <w:sz w:val="16"/>
          <w:szCs w:val="16"/>
        </w:rPr>
        <w:t xml:space="preserve">, </w:t>
      </w:r>
      <w:r w:rsidRPr="00E054B2">
        <w:rPr>
          <w:sz w:val="16"/>
          <w:szCs w:val="16"/>
        </w:rPr>
        <w:t>zákon č. 183/2006 Sb., o územním plánování a</w:t>
      </w:r>
      <w:r>
        <w:rPr>
          <w:sz w:val="16"/>
          <w:szCs w:val="16"/>
        </w:rPr>
        <w:t> </w:t>
      </w:r>
      <w:r w:rsidRPr="00E054B2">
        <w:rPr>
          <w:sz w:val="16"/>
          <w:szCs w:val="16"/>
        </w:rPr>
        <w:t xml:space="preserve">stavebním řádu (stavební zákon), ve znění </w:t>
      </w:r>
      <w:r>
        <w:rPr>
          <w:sz w:val="16"/>
          <w:szCs w:val="16"/>
        </w:rPr>
        <w:t>pozdějších předpisů</w:t>
      </w:r>
      <w:r w:rsidRPr="00E054B2">
        <w:rPr>
          <w:sz w:val="16"/>
          <w:szCs w:val="16"/>
        </w:rPr>
        <w:t xml:space="preserve">, vyhláška Ministerstva pro místní rozvoj č. </w:t>
      </w:r>
      <w:r>
        <w:rPr>
          <w:sz w:val="16"/>
          <w:szCs w:val="16"/>
        </w:rPr>
        <w:t>268</w:t>
      </w:r>
      <w:r w:rsidRPr="00E054B2">
        <w:rPr>
          <w:sz w:val="16"/>
          <w:szCs w:val="16"/>
        </w:rPr>
        <w:t>/</w:t>
      </w:r>
      <w:r>
        <w:rPr>
          <w:sz w:val="16"/>
          <w:szCs w:val="16"/>
        </w:rPr>
        <w:t>2009</w:t>
      </w:r>
      <w:r w:rsidRPr="00E054B2">
        <w:rPr>
          <w:sz w:val="16"/>
          <w:szCs w:val="16"/>
        </w:rPr>
        <w:t xml:space="preserve"> Sb</w:t>
      </w:r>
      <w:r>
        <w:rPr>
          <w:sz w:val="16"/>
          <w:szCs w:val="16"/>
        </w:rPr>
        <w:t xml:space="preserve">., </w:t>
      </w:r>
      <w:r w:rsidRPr="00DC6279">
        <w:rPr>
          <w:sz w:val="16"/>
          <w:szCs w:val="16"/>
        </w:rPr>
        <w:t>o</w:t>
      </w:r>
      <w:r>
        <w:rPr>
          <w:sz w:val="16"/>
          <w:szCs w:val="16"/>
        </w:rPr>
        <w:t> </w:t>
      </w:r>
      <w:r w:rsidRPr="00DC6279">
        <w:rPr>
          <w:sz w:val="16"/>
          <w:szCs w:val="16"/>
        </w:rPr>
        <w:t>technických požadavcích na stavby</w:t>
      </w:r>
      <w:r w:rsidRPr="00E054B2">
        <w:rPr>
          <w:sz w:val="16"/>
          <w:szCs w:val="16"/>
        </w:rPr>
        <w:t>, ve znění pozdějších předpisů</w:t>
      </w:r>
    </w:p>
  </w:footnote>
  <w:footnote w:id="4">
    <w:p w:rsidR="00381AFE" w:rsidRPr="00C860F8" w:rsidRDefault="00381AFE">
      <w:pPr>
        <w:pStyle w:val="Textpoznpodarou"/>
        <w:rPr>
          <w:sz w:val="16"/>
          <w:szCs w:val="16"/>
        </w:rPr>
      </w:pPr>
      <w:r w:rsidRPr="00C860F8">
        <w:rPr>
          <w:rStyle w:val="Znakapoznpodarou"/>
          <w:sz w:val="16"/>
          <w:szCs w:val="16"/>
        </w:rPr>
        <w:footnoteRef/>
      </w:r>
      <w:r w:rsidRPr="00C860F8">
        <w:rPr>
          <w:sz w:val="16"/>
          <w:szCs w:val="16"/>
        </w:rPr>
        <w:t xml:space="preserve"> Vyhláška Minis</w:t>
      </w:r>
      <w:r w:rsidR="009229C0" w:rsidRPr="00C860F8">
        <w:rPr>
          <w:sz w:val="16"/>
          <w:szCs w:val="16"/>
        </w:rPr>
        <w:t>terstva životního prostředí č. 8</w:t>
      </w:r>
      <w:r w:rsidRPr="00C860F8">
        <w:rPr>
          <w:sz w:val="16"/>
          <w:szCs w:val="16"/>
        </w:rPr>
        <w:t>/20</w:t>
      </w:r>
      <w:r w:rsidR="009229C0" w:rsidRPr="00C860F8">
        <w:rPr>
          <w:sz w:val="16"/>
          <w:szCs w:val="16"/>
        </w:rPr>
        <w:t>21 Sb.</w:t>
      </w:r>
      <w:r w:rsidR="00C860F8" w:rsidRPr="00C860F8">
        <w:rPr>
          <w:sz w:val="16"/>
          <w:szCs w:val="16"/>
        </w:rPr>
        <w:t xml:space="preserve">, o </w:t>
      </w:r>
      <w:r w:rsidR="00254BDB">
        <w:rPr>
          <w:sz w:val="16"/>
          <w:szCs w:val="16"/>
        </w:rPr>
        <w:t>k</w:t>
      </w:r>
      <w:r w:rsidR="00C860F8" w:rsidRPr="00C860F8">
        <w:rPr>
          <w:sz w:val="16"/>
          <w:szCs w:val="16"/>
        </w:rPr>
        <w:t>atalogu odpadů a posuzování vlastností odpadů</w:t>
      </w:r>
      <w:r w:rsidRPr="00C860F8">
        <w:rPr>
          <w:sz w:val="16"/>
          <w:szCs w:val="16"/>
        </w:rPr>
        <w:t xml:space="preserve"> </w:t>
      </w:r>
      <w:r w:rsidR="009229C0" w:rsidRPr="00C860F8">
        <w:rPr>
          <w:sz w:val="16"/>
          <w:szCs w:val="16"/>
        </w:rPr>
        <w:t>(</w:t>
      </w:r>
      <w:r w:rsidR="00254BDB">
        <w:rPr>
          <w:sz w:val="16"/>
          <w:szCs w:val="16"/>
        </w:rPr>
        <w:t>k</w:t>
      </w:r>
      <w:r w:rsidRPr="00C860F8">
        <w:rPr>
          <w:sz w:val="16"/>
          <w:szCs w:val="16"/>
        </w:rPr>
        <w:t>ata</w:t>
      </w:r>
      <w:r w:rsidR="009229C0" w:rsidRPr="00C860F8">
        <w:rPr>
          <w:sz w:val="16"/>
          <w:szCs w:val="16"/>
        </w:rPr>
        <w:t>log</w:t>
      </w:r>
      <w:r w:rsidRPr="00C860F8">
        <w:rPr>
          <w:sz w:val="16"/>
          <w:szCs w:val="16"/>
        </w:rPr>
        <w:t xml:space="preserve"> odpadů</w:t>
      </w:r>
      <w:r w:rsidR="009229C0" w:rsidRPr="00C860F8">
        <w:rPr>
          <w:sz w:val="16"/>
          <w:szCs w:val="16"/>
        </w:rPr>
        <w:t>)</w:t>
      </w:r>
      <w:r w:rsidR="00254BDB">
        <w:rPr>
          <w:sz w:val="16"/>
          <w:szCs w:val="16"/>
        </w:rPr>
        <w:t xml:space="preserve">, do </w:t>
      </w:r>
      <w:r w:rsidR="00254BDB">
        <w:rPr>
          <w:sz w:val="16"/>
          <w:szCs w:val="16"/>
        </w:rPr>
        <w:br/>
        <w:t>31. 12. 2023 platí vyhláška č. 93/2016 Sb., o katalogu odpadů, ve znění před nabytím účinnosti zákona o odpadech</w:t>
      </w:r>
    </w:p>
  </w:footnote>
  <w:footnote w:id="5">
    <w:p w:rsidR="00585B6A" w:rsidRDefault="00585B6A" w:rsidP="00C860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860F8">
        <w:rPr>
          <w:sz w:val="16"/>
          <w:szCs w:val="16"/>
        </w:rPr>
        <w:t>Zákon č. 13/1997 Sb., o pozemních komunikacích, ve znění pozdějších předpisů, zákon č. 183/2006 Sb., o územním plánování a stavebním řádu (stavební zákon), ve znění pozdějších předpisů, vyhláška Ministerstva pro místní rozvoj č. 268/2009 Sb., o technických požadavcích na stavby,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EF4" w:rsidRDefault="004E28A4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EF4">
      <w:t>S</w:t>
    </w:r>
    <w:r w:rsidR="007C1EF4" w:rsidRPr="00B713BC">
      <w:t xml:space="preserve">tatutární město </w:t>
    </w:r>
    <w:r w:rsidR="007C1EF4">
      <w:t>O</w:t>
    </w:r>
    <w:r w:rsidR="007C1EF4" w:rsidRPr="00B713BC">
      <w:t>pava</w:t>
    </w:r>
  </w:p>
  <w:p w:rsidR="00B62FA1" w:rsidRPr="00B62FA1" w:rsidRDefault="00B62FA1" w:rsidP="00B713BC">
    <w:pPr>
      <w:pStyle w:val="Zhlav"/>
      <w:rPr>
        <w:sz w:val="28"/>
        <w:szCs w:val="28"/>
      </w:rPr>
    </w:pPr>
    <w:r>
      <w:rPr>
        <w:sz w:val="28"/>
        <w:szCs w:val="28"/>
      </w:rPr>
      <w:t>zastupitelstvo statutárního města opavy</w:t>
    </w:r>
  </w:p>
  <w:p w:rsidR="007C1EF4" w:rsidRDefault="007C1EF4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BD37FE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F63"/>
    <w:multiLevelType w:val="multilevel"/>
    <w:tmpl w:val="877E82AC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4" w15:restartNumberingAfterBreak="0">
    <w:nsid w:val="120A41EC"/>
    <w:multiLevelType w:val="hybridMultilevel"/>
    <w:tmpl w:val="8182CF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3041"/>
    <w:multiLevelType w:val="multilevel"/>
    <w:tmpl w:val="7D0C9AAA"/>
    <w:numStyleLink w:val="SmrniceObsah"/>
  </w:abstractNum>
  <w:abstractNum w:abstractNumId="6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9209B"/>
    <w:multiLevelType w:val="multilevel"/>
    <w:tmpl w:val="7D0C9AAA"/>
    <w:numStyleLink w:val="SmrniceObsah"/>
  </w:abstractNum>
  <w:abstractNum w:abstractNumId="9" w15:restartNumberingAfterBreak="0">
    <w:nsid w:val="254D3D9A"/>
    <w:multiLevelType w:val="multilevel"/>
    <w:tmpl w:val="860052CE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0" w15:restartNumberingAfterBreak="0">
    <w:nsid w:val="255F6D26"/>
    <w:multiLevelType w:val="multilevel"/>
    <w:tmpl w:val="A7D418C2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Vrazncit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Nadpisobsahu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1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2" w15:restartNumberingAfterBreak="0">
    <w:nsid w:val="2A554795"/>
    <w:multiLevelType w:val="multilevel"/>
    <w:tmpl w:val="E59C265C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3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9572A4"/>
    <w:multiLevelType w:val="multilevel"/>
    <w:tmpl w:val="860052CE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6" w15:restartNumberingAfterBreak="0">
    <w:nsid w:val="43DD446A"/>
    <w:multiLevelType w:val="multilevel"/>
    <w:tmpl w:val="54DA9582"/>
    <w:numStyleLink w:val="SmrniceSeznam"/>
  </w:abstractNum>
  <w:abstractNum w:abstractNumId="17" w15:restartNumberingAfterBreak="0">
    <w:nsid w:val="43E265A2"/>
    <w:multiLevelType w:val="multilevel"/>
    <w:tmpl w:val="7D0C9AAA"/>
    <w:numStyleLink w:val="SmrniceObsah"/>
  </w:abstractNum>
  <w:abstractNum w:abstractNumId="18" w15:restartNumberingAfterBreak="0">
    <w:nsid w:val="4A9321F7"/>
    <w:multiLevelType w:val="multilevel"/>
    <w:tmpl w:val="7D0C9AAA"/>
    <w:numStyleLink w:val="SmrniceObsah"/>
  </w:abstractNum>
  <w:abstractNum w:abstractNumId="19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6E9CBE12"/>
    <w:lvl w:ilvl="0" w:tplc="7F7EA4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503272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87972"/>
    <w:multiLevelType w:val="multilevel"/>
    <w:tmpl w:val="7D0C9AAA"/>
    <w:numStyleLink w:val="SmrniceObsah"/>
  </w:abstractNum>
  <w:abstractNum w:abstractNumId="24" w15:restartNumberingAfterBreak="0">
    <w:nsid w:val="625406B4"/>
    <w:multiLevelType w:val="multilevel"/>
    <w:tmpl w:val="7D0C9AAA"/>
    <w:numStyleLink w:val="SmrniceObsah"/>
  </w:abstractNum>
  <w:abstractNum w:abstractNumId="25" w15:restartNumberingAfterBreak="0">
    <w:nsid w:val="64A304C4"/>
    <w:multiLevelType w:val="hybridMultilevel"/>
    <w:tmpl w:val="1AF0DF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6B2B"/>
    <w:multiLevelType w:val="multilevel"/>
    <w:tmpl w:val="54DA9582"/>
    <w:numStyleLink w:val="SmrniceSeznam"/>
  </w:abstractNum>
  <w:abstractNum w:abstractNumId="27" w15:restartNumberingAfterBreak="0">
    <w:nsid w:val="72A02B84"/>
    <w:multiLevelType w:val="multilevel"/>
    <w:tmpl w:val="4BEAAA5E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28" w15:restartNumberingAfterBreak="0">
    <w:nsid w:val="76F574C5"/>
    <w:multiLevelType w:val="multilevel"/>
    <w:tmpl w:val="12D85AB4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3"/>
        </w:tabs>
        <w:ind w:left="783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29" w15:restartNumberingAfterBreak="0">
    <w:nsid w:val="7C7C7E82"/>
    <w:multiLevelType w:val="multilevel"/>
    <w:tmpl w:val="4DE49BB2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30" w15:restartNumberingAfterBreak="0">
    <w:nsid w:val="7C9D6F8E"/>
    <w:multiLevelType w:val="hybridMultilevel"/>
    <w:tmpl w:val="7972A916"/>
    <w:lvl w:ilvl="0" w:tplc="A1DE51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6"/>
  </w:num>
  <w:num w:numId="5">
    <w:abstractNumId w:val="13"/>
  </w:num>
  <w:num w:numId="6">
    <w:abstractNumId w:val="2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</w:num>
  <w:num w:numId="7">
    <w:abstractNumId w:val="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8"/>
  </w:num>
  <w:num w:numId="12">
    <w:abstractNumId w:val="23"/>
  </w:num>
  <w:num w:numId="13">
    <w:abstractNumId w:val="24"/>
  </w:num>
  <w:num w:numId="14">
    <w:abstractNumId w:val="19"/>
  </w:num>
  <w:num w:numId="15">
    <w:abstractNumId w:val="18"/>
  </w:num>
  <w:num w:numId="16">
    <w:abstractNumId w:val="1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</w:num>
  <w:num w:numId="21">
    <w:abstractNumId w:val="21"/>
  </w:num>
  <w:num w:numId="22">
    <w:abstractNumId w:val="2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7"/>
  </w:num>
  <w:num w:numId="28">
    <w:abstractNumId w:val="2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</w:num>
  <w:num w:numId="29">
    <w:abstractNumId w:val="15"/>
  </w:num>
  <w:num w:numId="30">
    <w:abstractNumId w:val="2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</w:num>
  <w:num w:numId="31">
    <w:abstractNumId w:val="26"/>
    <w:lvlOverride w:ilvl="2">
      <w:lvl w:ilvl="2">
        <w:start w:val="1"/>
        <w:numFmt w:val="decimal"/>
        <w:lvlRestart w:val="0"/>
        <w:pStyle w:val="lnekNadpis"/>
        <w:suff w:val="nothing"/>
        <w:lvlText w:val="Článek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</w:num>
  <w:num w:numId="32">
    <w:abstractNumId w:val="29"/>
  </w:num>
  <w:num w:numId="33">
    <w:abstractNumId w:val="12"/>
  </w:num>
  <w:num w:numId="34">
    <w:abstractNumId w:val="1"/>
  </w:num>
  <w:num w:numId="35">
    <w:abstractNumId w:val="9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BD"/>
    <w:rsid w:val="00012A42"/>
    <w:rsid w:val="00022C2A"/>
    <w:rsid w:val="00024B09"/>
    <w:rsid w:val="00027F73"/>
    <w:rsid w:val="00052DBF"/>
    <w:rsid w:val="00061A98"/>
    <w:rsid w:val="00087843"/>
    <w:rsid w:val="00091011"/>
    <w:rsid w:val="00092011"/>
    <w:rsid w:val="000D2F4D"/>
    <w:rsid w:val="000D64CF"/>
    <w:rsid w:val="000E1617"/>
    <w:rsid w:val="000E1A4B"/>
    <w:rsid w:val="000F42E0"/>
    <w:rsid w:val="000F65B3"/>
    <w:rsid w:val="001107F6"/>
    <w:rsid w:val="001172F0"/>
    <w:rsid w:val="00130DB5"/>
    <w:rsid w:val="00162B22"/>
    <w:rsid w:val="001B1E3A"/>
    <w:rsid w:val="001B3795"/>
    <w:rsid w:val="001D52B3"/>
    <w:rsid w:val="001E5BE6"/>
    <w:rsid w:val="002516E9"/>
    <w:rsid w:val="00253B1C"/>
    <w:rsid w:val="00254BDB"/>
    <w:rsid w:val="002553A2"/>
    <w:rsid w:val="002604CF"/>
    <w:rsid w:val="00262120"/>
    <w:rsid w:val="00267CD5"/>
    <w:rsid w:val="002708FF"/>
    <w:rsid w:val="002778FC"/>
    <w:rsid w:val="00283F69"/>
    <w:rsid w:val="002A1949"/>
    <w:rsid w:val="002A3D00"/>
    <w:rsid w:val="002C2903"/>
    <w:rsid w:val="002D225C"/>
    <w:rsid w:val="002E6E6D"/>
    <w:rsid w:val="003006D0"/>
    <w:rsid w:val="00304A8D"/>
    <w:rsid w:val="003176C3"/>
    <w:rsid w:val="00320873"/>
    <w:rsid w:val="003231ED"/>
    <w:rsid w:val="0033003A"/>
    <w:rsid w:val="00330C8A"/>
    <w:rsid w:val="00336D54"/>
    <w:rsid w:val="003441C1"/>
    <w:rsid w:val="0035071F"/>
    <w:rsid w:val="00364B6D"/>
    <w:rsid w:val="00370FCD"/>
    <w:rsid w:val="00371BAD"/>
    <w:rsid w:val="00381AFE"/>
    <w:rsid w:val="003935C1"/>
    <w:rsid w:val="003C6DFF"/>
    <w:rsid w:val="00404AE4"/>
    <w:rsid w:val="00405577"/>
    <w:rsid w:val="004476C5"/>
    <w:rsid w:val="0045400B"/>
    <w:rsid w:val="00456659"/>
    <w:rsid w:val="004566AA"/>
    <w:rsid w:val="004573BA"/>
    <w:rsid w:val="00457D47"/>
    <w:rsid w:val="00462C1B"/>
    <w:rsid w:val="00484BA7"/>
    <w:rsid w:val="004A648C"/>
    <w:rsid w:val="004D68D1"/>
    <w:rsid w:val="004E28A4"/>
    <w:rsid w:val="00500AC9"/>
    <w:rsid w:val="00501677"/>
    <w:rsid w:val="00513CA6"/>
    <w:rsid w:val="005233F4"/>
    <w:rsid w:val="005308C1"/>
    <w:rsid w:val="00551C9D"/>
    <w:rsid w:val="005714CC"/>
    <w:rsid w:val="00584475"/>
    <w:rsid w:val="00585B6A"/>
    <w:rsid w:val="00594CBA"/>
    <w:rsid w:val="005964A5"/>
    <w:rsid w:val="005A5231"/>
    <w:rsid w:val="005B0DCC"/>
    <w:rsid w:val="005B120E"/>
    <w:rsid w:val="006020DB"/>
    <w:rsid w:val="006146B8"/>
    <w:rsid w:val="006344B9"/>
    <w:rsid w:val="00654855"/>
    <w:rsid w:val="00657EF9"/>
    <w:rsid w:val="00663376"/>
    <w:rsid w:val="006A0795"/>
    <w:rsid w:val="006C0AA3"/>
    <w:rsid w:val="0070632D"/>
    <w:rsid w:val="00712897"/>
    <w:rsid w:val="0072460C"/>
    <w:rsid w:val="00726B60"/>
    <w:rsid w:val="0073233D"/>
    <w:rsid w:val="00750189"/>
    <w:rsid w:val="00754DD2"/>
    <w:rsid w:val="00756E5D"/>
    <w:rsid w:val="00761DD4"/>
    <w:rsid w:val="00780150"/>
    <w:rsid w:val="00785630"/>
    <w:rsid w:val="00791E1E"/>
    <w:rsid w:val="007C1EF4"/>
    <w:rsid w:val="007C59C9"/>
    <w:rsid w:val="007D15F7"/>
    <w:rsid w:val="007E1987"/>
    <w:rsid w:val="007E64FA"/>
    <w:rsid w:val="008141AF"/>
    <w:rsid w:val="00815E14"/>
    <w:rsid w:val="0082443B"/>
    <w:rsid w:val="00853044"/>
    <w:rsid w:val="00863276"/>
    <w:rsid w:val="0086683F"/>
    <w:rsid w:val="0087492D"/>
    <w:rsid w:val="008A1543"/>
    <w:rsid w:val="008A2C4C"/>
    <w:rsid w:val="008E232C"/>
    <w:rsid w:val="008E6A2C"/>
    <w:rsid w:val="008F77EC"/>
    <w:rsid w:val="00910DD5"/>
    <w:rsid w:val="009229C0"/>
    <w:rsid w:val="00923F67"/>
    <w:rsid w:val="0093730E"/>
    <w:rsid w:val="0094504C"/>
    <w:rsid w:val="00947409"/>
    <w:rsid w:val="009624A7"/>
    <w:rsid w:val="009746FF"/>
    <w:rsid w:val="009A39A8"/>
    <w:rsid w:val="009A4344"/>
    <w:rsid w:val="009C3DCD"/>
    <w:rsid w:val="009C4720"/>
    <w:rsid w:val="009D3F41"/>
    <w:rsid w:val="009D41B2"/>
    <w:rsid w:val="009E1399"/>
    <w:rsid w:val="00A005C1"/>
    <w:rsid w:val="00A048ED"/>
    <w:rsid w:val="00A33BF4"/>
    <w:rsid w:val="00A534E0"/>
    <w:rsid w:val="00A56EEB"/>
    <w:rsid w:val="00A7570B"/>
    <w:rsid w:val="00A76B92"/>
    <w:rsid w:val="00A77915"/>
    <w:rsid w:val="00A965B4"/>
    <w:rsid w:val="00AA06D5"/>
    <w:rsid w:val="00AB3DDF"/>
    <w:rsid w:val="00AC12BA"/>
    <w:rsid w:val="00AC4506"/>
    <w:rsid w:val="00AE036D"/>
    <w:rsid w:val="00AE7DB5"/>
    <w:rsid w:val="00AF5E22"/>
    <w:rsid w:val="00B007DE"/>
    <w:rsid w:val="00B03D6A"/>
    <w:rsid w:val="00B07784"/>
    <w:rsid w:val="00B10304"/>
    <w:rsid w:val="00B23CA1"/>
    <w:rsid w:val="00B242C6"/>
    <w:rsid w:val="00B358F8"/>
    <w:rsid w:val="00B40E1E"/>
    <w:rsid w:val="00B43724"/>
    <w:rsid w:val="00B52E07"/>
    <w:rsid w:val="00B52E23"/>
    <w:rsid w:val="00B62FA1"/>
    <w:rsid w:val="00B655CD"/>
    <w:rsid w:val="00B713BC"/>
    <w:rsid w:val="00B76698"/>
    <w:rsid w:val="00BA3562"/>
    <w:rsid w:val="00BB100C"/>
    <w:rsid w:val="00BC3ADA"/>
    <w:rsid w:val="00BC6977"/>
    <w:rsid w:val="00BD5598"/>
    <w:rsid w:val="00C60FC1"/>
    <w:rsid w:val="00C66CBD"/>
    <w:rsid w:val="00C717C4"/>
    <w:rsid w:val="00C75A5C"/>
    <w:rsid w:val="00C860F8"/>
    <w:rsid w:val="00CC23CA"/>
    <w:rsid w:val="00CE42E7"/>
    <w:rsid w:val="00CF6481"/>
    <w:rsid w:val="00D05303"/>
    <w:rsid w:val="00D269EF"/>
    <w:rsid w:val="00D34654"/>
    <w:rsid w:val="00D77881"/>
    <w:rsid w:val="00D910EC"/>
    <w:rsid w:val="00D95751"/>
    <w:rsid w:val="00DD39A8"/>
    <w:rsid w:val="00DE3C3E"/>
    <w:rsid w:val="00E24D5A"/>
    <w:rsid w:val="00E25558"/>
    <w:rsid w:val="00E35335"/>
    <w:rsid w:val="00E40D12"/>
    <w:rsid w:val="00E51BCB"/>
    <w:rsid w:val="00E554F9"/>
    <w:rsid w:val="00E847A9"/>
    <w:rsid w:val="00E8731B"/>
    <w:rsid w:val="00EF251E"/>
    <w:rsid w:val="00F10FC9"/>
    <w:rsid w:val="00F169F7"/>
    <w:rsid w:val="00F30694"/>
    <w:rsid w:val="00F544D4"/>
    <w:rsid w:val="00F75925"/>
    <w:rsid w:val="00F83689"/>
    <w:rsid w:val="00F95518"/>
    <w:rsid w:val="00FB07D7"/>
    <w:rsid w:val="00FB6228"/>
    <w:rsid w:val="00FE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9E0632-8A90-44E3-A316-1DEA852B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vraznn">
    <w:name w:val="Zvýraznění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99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8E232C"/>
    <w:pPr>
      <w:numPr>
        <w:ilvl w:val="2"/>
        <w:numId w:val="16"/>
      </w:numPr>
      <w:tabs>
        <w:tab w:val="right" w:pos="9628"/>
      </w:tabs>
      <w:ind w:left="567" w:hanging="567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customStyle="1" w:styleId="lnek11">
    <w:name w:val="Článek 11"/>
    <w:basedOn w:val="lnekText"/>
    <w:rsid w:val="009C3DCD"/>
    <w:pPr>
      <w:numPr>
        <w:ilvl w:val="0"/>
        <w:numId w:val="0"/>
      </w:numPr>
      <w:tabs>
        <w:tab w:val="num" w:pos="907"/>
        <w:tab w:val="left" w:pos="2495"/>
        <w:tab w:val="left" w:pos="3515"/>
        <w:tab w:val="left" w:pos="4763"/>
        <w:tab w:val="left" w:pos="6237"/>
        <w:tab w:val="left" w:pos="7825"/>
      </w:tabs>
      <w:spacing w:before="0"/>
      <w:ind w:left="907" w:hanging="550"/>
    </w:pPr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FB6228"/>
    <w:rPr>
      <w:rFonts w:eastAsia="Times New Roman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rsid w:val="00FB6228"/>
    <w:rPr>
      <w:rFonts w:eastAsia="Times New Roman"/>
    </w:rPr>
  </w:style>
  <w:style w:type="character" w:styleId="Znakapoznpodarou">
    <w:name w:val="footnote reference"/>
    <w:semiHidden/>
    <w:rsid w:val="00FB6228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231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1ED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231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1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31E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1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31ED"/>
    <w:rPr>
      <w:rFonts w:ascii="Tahoma" w:hAnsi="Tahoma" w:cs="Tahoma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rsid w:val="0045400B"/>
    <w:pPr>
      <w:ind w:left="708" w:firstLine="35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45400B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30DB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ava-city.cz/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venA\AppData\Roaming\Microsoft\&#352;ablony\RMO%20ZMO\smernice_Sm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5C4ED9E-302F-4382-ADD9-4B88C00B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0</TotalTime>
  <Pages>6</Pages>
  <Words>1310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9022</CharactersWithSpaces>
  <SharedDoc>false</SharedDoc>
  <HLinks>
    <vt:vector size="6" baseType="variant">
      <vt:variant>
        <vt:i4>6553639</vt:i4>
      </vt:variant>
      <vt:variant>
        <vt:i4>30</vt:i4>
      </vt:variant>
      <vt:variant>
        <vt:i4>0</vt:i4>
      </vt:variant>
      <vt:variant>
        <vt:i4>5</vt:i4>
      </vt:variant>
      <vt:variant>
        <vt:lpwstr>http://www.opava-city.cz/cs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Červeň Albert</dc:creator>
  <cp:keywords/>
  <cp:lastModifiedBy>Zahradníková Renata</cp:lastModifiedBy>
  <cp:revision>2</cp:revision>
  <cp:lastPrinted>2021-12-08T11:38:00Z</cp:lastPrinted>
  <dcterms:created xsi:type="dcterms:W3CDTF">2023-01-04T13:57:00Z</dcterms:created>
  <dcterms:modified xsi:type="dcterms:W3CDTF">2023-01-04T13:57:00Z</dcterms:modified>
</cp:coreProperties>
</file>