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ECD1B" w14:textId="77777777" w:rsidR="00893E1C" w:rsidRDefault="00D8261A">
      <w:pPr>
        <w:spacing w:after="101" w:line="259" w:lineRule="auto"/>
        <w:ind w:left="8" w:firstLine="0"/>
        <w:jc w:val="center"/>
      </w:pPr>
      <w:r>
        <w:rPr>
          <w:b/>
          <w:sz w:val="28"/>
        </w:rPr>
        <w:t xml:space="preserve">MĚSTO TURNOV </w:t>
      </w:r>
    </w:p>
    <w:p w14:paraId="091F5D87" w14:textId="77777777" w:rsidR="00893E1C" w:rsidRDefault="00D8261A">
      <w:pPr>
        <w:pStyle w:val="Nadpis1"/>
        <w:spacing w:after="158"/>
        <w:ind w:left="21" w:right="8"/>
      </w:pPr>
      <w:r>
        <w:t xml:space="preserve">Obecně závazná vyhláška města Turnova č. 5/2016 </w:t>
      </w:r>
    </w:p>
    <w:p w14:paraId="1353B9EB" w14:textId="77777777" w:rsidR="00893E1C" w:rsidRDefault="00D8261A">
      <w:pPr>
        <w:spacing w:after="158" w:line="259" w:lineRule="auto"/>
        <w:ind w:left="21" w:right="11"/>
        <w:jc w:val="center"/>
      </w:pPr>
      <w:r>
        <w:rPr>
          <w:b/>
        </w:rPr>
        <w:t xml:space="preserve">o stanovení podmínek pro pořádání, průběh a ukončení veřejnosti přístupných sportovních a kulturních podniků, včetně tanečních zábav a diskoték a jiných kulturních podniků v rozsahu nezbytném k zajištění veřejného pořádku. </w:t>
      </w:r>
    </w:p>
    <w:p w14:paraId="0E1036DA" w14:textId="77777777" w:rsidR="00893E1C" w:rsidRDefault="00D8261A">
      <w:pPr>
        <w:spacing w:after="0"/>
      </w:pPr>
      <w:r>
        <w:t>Zastupitelstvo města Turnova se na svém zasedání dne 20. 10. 2016 usnesením č. 384/</w:t>
      </w:r>
      <w:proofErr w:type="gramStart"/>
      <w:r>
        <w:t>2016  usneslo</w:t>
      </w:r>
      <w:proofErr w:type="gramEnd"/>
      <w:r>
        <w:t xml:space="preserve"> vydat na základě ustanovení § 10 písm. b) a v souladu s ustanovením § 84 odst. 2 písm. h) zákona č. </w:t>
      </w:r>
    </w:p>
    <w:p w14:paraId="1F1511CE" w14:textId="77777777" w:rsidR="00893E1C" w:rsidRDefault="00D8261A">
      <w:pPr>
        <w:spacing w:after="159"/>
      </w:pPr>
      <w:r>
        <w:t xml:space="preserve">128/2000 Sb. o obcích (obecní zřízení), ve znění pozdějších předpisů, tuto obecně závaznou vyhlášku: </w:t>
      </w:r>
    </w:p>
    <w:p w14:paraId="0658BFB1" w14:textId="77777777" w:rsidR="00893E1C" w:rsidRDefault="00D8261A">
      <w:pPr>
        <w:pStyle w:val="Nadpis1"/>
        <w:spacing w:after="158"/>
        <w:ind w:left="21" w:right="4"/>
      </w:pPr>
      <w:r>
        <w:t xml:space="preserve">Článek 1 Předmět obecně závazné vyhlášky </w:t>
      </w:r>
    </w:p>
    <w:p w14:paraId="15BE9117" w14:textId="77777777" w:rsidR="00893E1C" w:rsidRDefault="00D8261A">
      <w:pPr>
        <w:spacing w:after="161"/>
      </w:pPr>
      <w:r>
        <w:t xml:space="preserve">Předmětem této vyhlášky je stanovení podmínek pro pořádání veřejných produkcí hudby, které jsou závazné nejen pro veřejné produkce hudby pořádané na veřejném prostranství, ale i pro veřejné produkce hudby pořádané na jiných místech, pokud se jejich následky projevují na veřejných prostranstvích, nebo pokud jsou způsobilé veřejný pořádek ve městě narušit, a to při zachování principu proporcionality a rozumnosti úpravy ukládaných povinností. </w:t>
      </w:r>
    </w:p>
    <w:p w14:paraId="4AD0E424" w14:textId="77777777" w:rsidR="00893E1C" w:rsidRDefault="00D8261A">
      <w:pPr>
        <w:pStyle w:val="Nadpis1"/>
        <w:spacing w:after="194"/>
        <w:ind w:left="21" w:right="4"/>
      </w:pPr>
      <w:r>
        <w:t xml:space="preserve">Článek 2 Podmínky pro pořádání, průběh a ukončení veřejných produkcí hudby </w:t>
      </w:r>
    </w:p>
    <w:p w14:paraId="4ACD092D" w14:textId="77777777" w:rsidR="00893E1C" w:rsidRDefault="00D8261A">
      <w:pPr>
        <w:numPr>
          <w:ilvl w:val="0"/>
          <w:numId w:val="1"/>
        </w:numPr>
        <w:ind w:hanging="360"/>
      </w:pPr>
      <w:r>
        <w:t xml:space="preserve">Pořadatel veřejné produkce hudby uvedené v čl. 1 této vyhlášky je povinen oznámit1 nejméně 7 dnů před jejím konáním Městskému úřadu Turnov: </w:t>
      </w:r>
    </w:p>
    <w:p w14:paraId="36E5E3DB" w14:textId="77777777" w:rsidR="00893E1C" w:rsidRDefault="00D8261A">
      <w:pPr>
        <w:numPr>
          <w:ilvl w:val="1"/>
          <w:numId w:val="1"/>
        </w:numPr>
        <w:ind w:hanging="360"/>
      </w:pPr>
      <w:r>
        <w:t xml:space="preserve">fyzická osoba jméno a příjmení, datum narození, adresu místa trvalého pobytu a adresu pobytu, je-li odlišná od místa trvalého pobytu pořadatele, </w:t>
      </w:r>
    </w:p>
    <w:p w14:paraId="2C63209A" w14:textId="77777777" w:rsidR="00893E1C" w:rsidRDefault="00D8261A">
      <w:pPr>
        <w:numPr>
          <w:ilvl w:val="1"/>
          <w:numId w:val="1"/>
        </w:numPr>
        <w:ind w:hanging="360"/>
      </w:pPr>
      <w:r>
        <w:t xml:space="preserve">podnikající fyzická osoba, jméno a příjmení, IČ, adresu místa podnikání, </w:t>
      </w:r>
    </w:p>
    <w:p w14:paraId="71E677D4" w14:textId="77777777" w:rsidR="00893E1C" w:rsidRDefault="00D8261A">
      <w:pPr>
        <w:numPr>
          <w:ilvl w:val="1"/>
          <w:numId w:val="1"/>
        </w:numPr>
        <w:ind w:hanging="360"/>
      </w:pPr>
      <w:r>
        <w:t xml:space="preserve">je-li pořadatelem právnická osoba, IČ, název, sídlo a označení osoby, která za tuto právnickou osobu jedná, </w:t>
      </w:r>
    </w:p>
    <w:p w14:paraId="318FEF96" w14:textId="77777777" w:rsidR="00893E1C" w:rsidRDefault="00D8261A">
      <w:pPr>
        <w:numPr>
          <w:ilvl w:val="1"/>
          <w:numId w:val="1"/>
        </w:numPr>
        <w:ind w:hanging="360"/>
      </w:pPr>
      <w:r>
        <w:t xml:space="preserve">jméno a příjmení, datum narození, adresu místa trvalého pobytu osoby určené pořadatelem veřejné produkce pro styk s orgány veřejné moci, pokud pořadatel veřejné produkce tuto funkci nevykonává sám, </w:t>
      </w:r>
    </w:p>
    <w:p w14:paraId="79E712CC" w14:textId="77777777" w:rsidR="00893E1C" w:rsidRDefault="00D8261A">
      <w:pPr>
        <w:numPr>
          <w:ilvl w:val="1"/>
          <w:numId w:val="1"/>
        </w:numPr>
        <w:ind w:hanging="360"/>
      </w:pPr>
      <w:r>
        <w:t xml:space="preserve">označení druhu veřejné produkce, dobu a místo konání včetně údaje o jeho počátku a ukončení, </w:t>
      </w:r>
    </w:p>
    <w:p w14:paraId="30C91CFD" w14:textId="77777777" w:rsidR="00893E1C" w:rsidRDefault="00D8261A">
      <w:pPr>
        <w:numPr>
          <w:ilvl w:val="1"/>
          <w:numId w:val="1"/>
        </w:numPr>
        <w:ind w:hanging="360"/>
      </w:pPr>
      <w:r>
        <w:t xml:space="preserve">předpokládaný počet účastníků veřejné produkce, </w:t>
      </w:r>
    </w:p>
    <w:p w14:paraId="2E69D992" w14:textId="77777777" w:rsidR="00893E1C" w:rsidRDefault="00D8261A">
      <w:pPr>
        <w:numPr>
          <w:ilvl w:val="1"/>
          <w:numId w:val="1"/>
        </w:numPr>
        <w:ind w:hanging="360"/>
      </w:pPr>
      <w:r>
        <w:t xml:space="preserve">počet osob zajišťujících pořadatelskou službu a způsob jejich označení, </w:t>
      </w:r>
    </w:p>
    <w:p w14:paraId="2DCC90B4" w14:textId="77777777" w:rsidR="00893E1C" w:rsidRDefault="00D8261A">
      <w:pPr>
        <w:numPr>
          <w:ilvl w:val="1"/>
          <w:numId w:val="1"/>
        </w:numPr>
        <w:ind w:hanging="360"/>
      </w:pPr>
      <w:r>
        <w:t xml:space="preserve">údaje o osobě nebo osobách, které poskytly k užívání pozemek, kde se má veřejná produkce konat, </w:t>
      </w:r>
    </w:p>
    <w:p w14:paraId="1BD81AFD" w14:textId="77777777" w:rsidR="00893E1C" w:rsidRDefault="00D8261A">
      <w:pPr>
        <w:numPr>
          <w:ilvl w:val="1"/>
          <w:numId w:val="1"/>
        </w:numPr>
        <w:ind w:hanging="360"/>
      </w:pPr>
      <w:r>
        <w:t>lhůtu, ve které zajistí úklid místa konání veřejné produkce, a způsob tohoto úklidu, jde-</w:t>
      </w:r>
      <w:r>
        <w:t xml:space="preserve">li o místa, která nejsou určena a zřízena pro pořádání veřejných produkcí, </w:t>
      </w:r>
    </w:p>
    <w:p w14:paraId="4C902E55" w14:textId="77777777" w:rsidR="00893E1C" w:rsidRDefault="00D8261A">
      <w:pPr>
        <w:numPr>
          <w:ilvl w:val="0"/>
          <w:numId w:val="1"/>
        </w:numPr>
        <w:spacing w:after="160" w:line="259" w:lineRule="auto"/>
        <w:ind w:hanging="360"/>
      </w:pPr>
      <w:r>
        <w:t xml:space="preserve">Pořadatel je povinen zajistit, aby osoba určená pořadatelem pro styk s orgány veřejné moci byla přítomna v průběhu konání celé akce a označena viditelným nápisem „Pořadatelská služba“. </w:t>
      </w:r>
    </w:p>
    <w:p w14:paraId="524E4539" w14:textId="77777777" w:rsidR="00893E1C" w:rsidRDefault="00D8261A">
      <w:pPr>
        <w:pStyle w:val="Nadpis1"/>
        <w:spacing w:after="160"/>
        <w:ind w:left="21" w:right="4"/>
      </w:pPr>
      <w:r>
        <w:t xml:space="preserve">Článek 3 Kontrola a sankce </w:t>
      </w:r>
    </w:p>
    <w:p w14:paraId="1FC28D73" w14:textId="77777777" w:rsidR="00893E1C" w:rsidRDefault="00D8261A">
      <w:pPr>
        <w:spacing w:after="159"/>
      </w:pPr>
      <w:r>
        <w:t xml:space="preserve">Za nedodržení povinností uvedených v této vyhlášce je možno uložit sankce dle zvláštních právních předpisů. 2 </w:t>
      </w:r>
    </w:p>
    <w:p w14:paraId="05B94448" w14:textId="77777777" w:rsidR="00893E1C" w:rsidRDefault="00D8261A">
      <w:pPr>
        <w:spacing w:after="0" w:line="259" w:lineRule="auto"/>
        <w:ind w:left="0" w:firstLine="0"/>
      </w:pPr>
      <w:r>
        <w:t xml:space="preserve"> </w:t>
      </w:r>
    </w:p>
    <w:p w14:paraId="2F7D26EB" w14:textId="77777777" w:rsidR="00893E1C" w:rsidRDefault="00D8261A">
      <w:pPr>
        <w:spacing w:after="161" w:line="259" w:lineRule="auto"/>
        <w:ind w:left="0" w:firstLine="0"/>
      </w:pPr>
      <w:r>
        <w:t xml:space="preserve"> </w:t>
      </w:r>
    </w:p>
    <w:p w14:paraId="6F4AD804" w14:textId="77777777" w:rsidR="00893E1C" w:rsidRDefault="00D8261A">
      <w:pPr>
        <w:pStyle w:val="Nadpis1"/>
        <w:spacing w:after="192"/>
        <w:ind w:left="21" w:right="4"/>
      </w:pPr>
      <w:r>
        <w:lastRenderedPageBreak/>
        <w:t xml:space="preserve">Článek 4 Závěrečná ustanovení </w:t>
      </w:r>
    </w:p>
    <w:p w14:paraId="254DF8B5" w14:textId="77777777" w:rsidR="00893E1C" w:rsidRDefault="00D8261A">
      <w:pPr>
        <w:numPr>
          <w:ilvl w:val="0"/>
          <w:numId w:val="2"/>
        </w:numPr>
        <w:ind w:hanging="360"/>
      </w:pPr>
      <w:r>
        <w:t xml:space="preserve">Obecně závazná vyhláška města Turnov č. 2/2013 o stanovení podmínek pro pořádání, průběh a ukončení veřejnosti přístupných sportovních a kulturních podniků, včetně tanečních zábav a diskoték a jiných kulturních podniků (dále jen „veřejné produkce hudby“) v rozsahu nezbytném k zajištění veřejného pořádku ze dne 31. října 2013 se zrušuje. </w:t>
      </w:r>
    </w:p>
    <w:p w14:paraId="3B4AF6EB" w14:textId="77777777" w:rsidR="00893E1C" w:rsidRDefault="00D8261A">
      <w:pPr>
        <w:numPr>
          <w:ilvl w:val="0"/>
          <w:numId w:val="2"/>
        </w:numPr>
        <w:spacing w:after="159"/>
        <w:ind w:hanging="360"/>
      </w:pPr>
      <w:r>
        <w:t xml:space="preserve">Tato obecně závazná vyhláška nabývá účinnosti patnáctým dnem po dni vyhlášení. </w:t>
      </w:r>
    </w:p>
    <w:p w14:paraId="45EF73EE" w14:textId="77777777" w:rsidR="00893E1C" w:rsidRDefault="00D8261A">
      <w:pPr>
        <w:spacing w:after="160" w:line="259" w:lineRule="auto"/>
        <w:ind w:left="0" w:firstLine="0"/>
      </w:pPr>
      <w:r>
        <w:t xml:space="preserve"> </w:t>
      </w:r>
    </w:p>
    <w:p w14:paraId="0E3F5425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180EB2FF" w14:textId="77777777" w:rsidR="00D8261A" w:rsidRDefault="00D8261A">
      <w:pPr>
        <w:spacing w:after="1" w:line="401" w:lineRule="auto"/>
        <w:ind w:left="0" w:right="1537" w:firstLine="0"/>
        <w:jc w:val="both"/>
      </w:pPr>
      <w:r>
        <w:t xml:space="preserve">     ………………………..                                                           …………………………  </w:t>
      </w:r>
    </w:p>
    <w:p w14:paraId="18DDB014" w14:textId="77777777" w:rsidR="00D8261A" w:rsidRDefault="00D8261A">
      <w:pPr>
        <w:spacing w:after="1" w:line="401" w:lineRule="auto"/>
        <w:ind w:left="0" w:right="1537" w:firstLine="0"/>
        <w:jc w:val="both"/>
      </w:pPr>
      <w:r>
        <w:t xml:space="preserve">Mgr. Petra Houšková                                                               Ing. Tomáš </w:t>
      </w:r>
      <w:proofErr w:type="spellStart"/>
      <w:r>
        <w:t>Hocke</w:t>
      </w:r>
      <w:proofErr w:type="spellEnd"/>
      <w:r>
        <w:t xml:space="preserve">   </w:t>
      </w:r>
    </w:p>
    <w:p w14:paraId="2E8BCB63" w14:textId="06F5A593" w:rsidR="00893E1C" w:rsidRDefault="00D8261A">
      <w:pPr>
        <w:spacing w:after="1" w:line="401" w:lineRule="auto"/>
        <w:ind w:left="0" w:right="1537" w:firstLine="0"/>
        <w:jc w:val="both"/>
      </w:pPr>
      <w:r>
        <w:t xml:space="preserve">místostarosta města                                                                       starosta města </w:t>
      </w:r>
    </w:p>
    <w:p w14:paraId="4406546E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41E1D408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0F90091B" w14:textId="77777777" w:rsidR="00893E1C" w:rsidRDefault="00D8261A">
      <w:pPr>
        <w:spacing w:after="160" w:line="259" w:lineRule="auto"/>
        <w:ind w:left="0" w:firstLine="0"/>
      </w:pPr>
      <w:r>
        <w:t xml:space="preserve"> </w:t>
      </w:r>
    </w:p>
    <w:p w14:paraId="23BA0E40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33C184FE" w14:textId="77777777" w:rsidR="00893E1C" w:rsidRDefault="00D8261A">
      <w:pPr>
        <w:spacing w:after="160" w:line="259" w:lineRule="auto"/>
        <w:ind w:left="0" w:firstLine="0"/>
      </w:pPr>
      <w:r>
        <w:t xml:space="preserve"> </w:t>
      </w:r>
    </w:p>
    <w:p w14:paraId="2217D2A7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06F903FF" w14:textId="77777777" w:rsidR="00893E1C" w:rsidRDefault="00D8261A">
      <w:pPr>
        <w:spacing w:after="161" w:line="259" w:lineRule="auto"/>
        <w:ind w:left="0" w:firstLine="0"/>
      </w:pPr>
      <w:r>
        <w:t xml:space="preserve"> </w:t>
      </w:r>
    </w:p>
    <w:p w14:paraId="1A1B1160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1B764B25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242D97EB" w14:textId="77777777" w:rsidR="00893E1C" w:rsidRDefault="00D8261A">
      <w:pPr>
        <w:spacing w:after="160" w:line="259" w:lineRule="auto"/>
        <w:ind w:left="0" w:firstLine="0"/>
      </w:pPr>
      <w:r>
        <w:t xml:space="preserve"> </w:t>
      </w:r>
    </w:p>
    <w:p w14:paraId="0429E52C" w14:textId="77777777" w:rsidR="00893E1C" w:rsidRDefault="00D8261A">
      <w:pPr>
        <w:spacing w:after="158" w:line="259" w:lineRule="auto"/>
        <w:ind w:left="0" w:firstLine="0"/>
      </w:pPr>
      <w:r>
        <w:t xml:space="preserve"> </w:t>
      </w:r>
    </w:p>
    <w:p w14:paraId="56497172" w14:textId="77777777" w:rsidR="00893E1C" w:rsidRDefault="00D8261A">
      <w:pPr>
        <w:spacing w:after="160" w:line="259" w:lineRule="auto"/>
        <w:ind w:left="0" w:firstLine="0"/>
      </w:pPr>
      <w:r>
        <w:t xml:space="preserve"> </w:t>
      </w:r>
    </w:p>
    <w:p w14:paraId="5A91FF8C" w14:textId="77777777" w:rsidR="00893E1C" w:rsidRDefault="00D8261A">
      <w:pPr>
        <w:spacing w:after="159"/>
      </w:pPr>
      <w:r>
        <w:t xml:space="preserve">Vyvěšeno na úřední desce dne: </w:t>
      </w:r>
    </w:p>
    <w:p w14:paraId="2E059599" w14:textId="77777777" w:rsidR="00893E1C" w:rsidRDefault="00D8261A">
      <w:pPr>
        <w:spacing w:after="159"/>
      </w:pPr>
      <w:r>
        <w:t xml:space="preserve">Ve stejném termínu zveřejněno v elektronické podobě umožňující dálkový přístup. </w:t>
      </w:r>
    </w:p>
    <w:p w14:paraId="2748CC1A" w14:textId="77777777" w:rsidR="00893E1C" w:rsidRDefault="00D8261A">
      <w:pPr>
        <w:spacing w:after="162"/>
      </w:pPr>
      <w:r>
        <w:t xml:space="preserve">Sejmuto z úřední desky dne: </w:t>
      </w:r>
    </w:p>
    <w:p w14:paraId="2ECAB9CB" w14:textId="77777777" w:rsidR="00893E1C" w:rsidRDefault="00D8261A">
      <w:pPr>
        <w:spacing w:after="159"/>
      </w:pPr>
      <w:r>
        <w:t xml:space="preserve">__________________________________________________________________ </w:t>
      </w:r>
    </w:p>
    <w:p w14:paraId="32466B00" w14:textId="77777777" w:rsidR="00893E1C" w:rsidRDefault="00D8261A">
      <w:pPr>
        <w:numPr>
          <w:ilvl w:val="0"/>
          <w:numId w:val="3"/>
        </w:numPr>
        <w:spacing w:after="161"/>
        <w:ind w:hanging="213"/>
      </w:pPr>
      <w:r>
        <w:t xml:space="preserve">§ 37 odst. 4 zákona č. 500/2004 Sb., správní řád, ve znění pozdějších předpisů </w:t>
      </w:r>
    </w:p>
    <w:p w14:paraId="5283B910" w14:textId="77777777" w:rsidR="00893E1C" w:rsidRDefault="00D8261A">
      <w:pPr>
        <w:numPr>
          <w:ilvl w:val="0"/>
          <w:numId w:val="3"/>
        </w:numPr>
        <w:ind w:hanging="213"/>
      </w:pPr>
      <w:r>
        <w:t xml:space="preserve">§ 58 odst. 4 zákona č. 128/2000 Sb. o obcích (obecní zřízení), ve znění pozdějších předpisů, § 46 odst. 2 a § 47 zákona č. 200/1990 Sb.  o přestupcích, ve znění pozdějších předpisů </w:t>
      </w:r>
    </w:p>
    <w:sectPr w:rsidR="00893E1C">
      <w:pgSz w:w="11906" w:h="16838"/>
      <w:pgMar w:top="1457" w:right="1425" w:bottom="15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84A34"/>
    <w:multiLevelType w:val="hybridMultilevel"/>
    <w:tmpl w:val="F1829926"/>
    <w:lvl w:ilvl="0" w:tplc="F272C72C">
      <w:start w:val="1"/>
      <w:numFmt w:val="decimal"/>
      <w:lvlText w:val="(%1)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459C8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12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EC8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2BCA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AA96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4D45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6A9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8F5C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44F78"/>
    <w:multiLevelType w:val="hybridMultilevel"/>
    <w:tmpl w:val="F99A1172"/>
    <w:lvl w:ilvl="0" w:tplc="C53283D4">
      <w:start w:val="1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AB2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E02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0AEE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0EF9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0BE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25F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87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8ED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2B733F"/>
    <w:multiLevelType w:val="hybridMultilevel"/>
    <w:tmpl w:val="03C4E480"/>
    <w:lvl w:ilvl="0" w:tplc="8270A1B2">
      <w:start w:val="1"/>
      <w:numFmt w:val="decimal"/>
      <w:lvlText w:val="%1"/>
      <w:lvlJc w:val="left"/>
      <w:pPr>
        <w:ind w:left="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A61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665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49E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E1E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AE7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6AF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45B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0AD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3656724">
    <w:abstractNumId w:val="0"/>
  </w:num>
  <w:num w:numId="2" w16cid:durableId="269776524">
    <w:abstractNumId w:val="1"/>
  </w:num>
  <w:num w:numId="3" w16cid:durableId="113352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1C"/>
    <w:rsid w:val="0088623F"/>
    <w:rsid w:val="00893E1C"/>
    <w:rsid w:val="00D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C068"/>
  <w15:docId w15:val="{660FEE10-AB9E-46B1-99BD-42A4DE7D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Mochal</dc:creator>
  <cp:keywords/>
  <cp:lastModifiedBy>Mgr. Eva Honzáková</cp:lastModifiedBy>
  <cp:revision>2</cp:revision>
  <dcterms:created xsi:type="dcterms:W3CDTF">2024-12-16T15:16:00Z</dcterms:created>
  <dcterms:modified xsi:type="dcterms:W3CDTF">2024-12-16T15:16:00Z</dcterms:modified>
</cp:coreProperties>
</file>