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Obec Staříč</w:t>
        <w:br w:type="textWrapping"/>
        <w:t xml:space="preserve">Zastupitelstvo obce Staříč</w:t>
      </w:r>
    </w:p>
    <w:p w:rsidR="00000000" w:rsidDel="00000000" w:rsidP="00000000" w:rsidRDefault="00000000" w:rsidRPr="00000000" w14:paraId="00000002">
      <w:pPr>
        <w:pStyle w:val="Heading1"/>
        <w:rPr/>
      </w:pPr>
      <w:r w:rsidDel="00000000" w:rsidR="00000000" w:rsidRPr="00000000">
        <w:rPr>
          <w:rtl w:val="0"/>
        </w:rPr>
        <w:t xml:space="preserve">Obecně závazná vyhláška obce Staříč</w:t>
        <w:br w:type="textWrapping"/>
        <w:t xml:space="preserve">o místním poplatku ze psů</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2"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Staříč se na svém zasedání dne 20.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4">
      <w:pPr>
        <w:pStyle w:val="Heading2"/>
        <w:rPr/>
      </w:pPr>
      <w:r w:rsidDel="00000000" w:rsidR="00000000" w:rsidRPr="00000000">
        <w:rPr>
          <w:rtl w:val="0"/>
        </w:rPr>
        <w:t xml:space="preserve">Čl. 1</w:t>
        <w:br w:type="textWrapping"/>
        <w:t xml:space="preserve">Úvodní ustanovení</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Obec Staříč touto vyhláškou zavádí místní poplatek ze psů (dále jen „poplatek“).</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Poplatkovým obdobím poplatku je kalendářní rok</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Správcem poplatku je obecní úřad</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pStyle w:val="Heading2"/>
        <w:rPr/>
      </w:pPr>
      <w:r w:rsidDel="00000000" w:rsidR="00000000" w:rsidRPr="00000000">
        <w:rPr>
          <w:rtl w:val="0"/>
        </w:rPr>
        <w:t xml:space="preserve">Čl. 2</w:t>
        <w:br w:type="textWrapping"/>
        <w:t xml:space="preserve">Předmět poplatku a poplatník</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se platí ze psů starších 3 měsíců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pStyle w:val="Heading2"/>
        <w:rPr/>
      </w:pPr>
      <w:r w:rsidDel="00000000" w:rsidR="00000000" w:rsidRPr="00000000">
        <w:rPr>
          <w:rtl w:val="0"/>
        </w:rPr>
        <w:t xml:space="preserve">Čl. 3</w:t>
        <w:br w:type="textWrapping"/>
        <w:t xml:space="preserve">Ohlašovací povinnost</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je povinen podat správci poplatku ohlášení nejpozději do 15 dnů ode dne, kdy se pes stal starším 3 měsíců, nebo ode dne, kdy nabyl psa staršího 3 měsíců; údaje uváděné v ohlášení upravuje zákon</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Dojde-li ke změně údajů uvedených v ohlášení, je poplatník povinen tuto změnu oznámit do 15 dnů ode dne, kdy nastala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pStyle w:val="Heading2"/>
        <w:rPr/>
      </w:pPr>
      <w:r w:rsidDel="00000000" w:rsidR="00000000" w:rsidRPr="00000000">
        <w:rPr>
          <w:rtl w:val="0"/>
        </w:rPr>
        <w:t xml:space="preserve">Čl. 4</w:t>
        <w:br w:type="textWrapping"/>
        <w:t xml:space="preserve">Sazba poplatku</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Sazba poplatku za kalendářní rok činí:</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jednoho psa 120 Kč,</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180 Kč,</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psa, jehož držitelem je osoba starší 65 let, 120 Kč,</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kterým je osoba starší 65 let, 180 Kč.</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pStyle w:val="Heading2"/>
        <w:rPr/>
      </w:pPr>
      <w:r w:rsidDel="00000000" w:rsidR="00000000" w:rsidRPr="00000000">
        <w:rPr>
          <w:rtl w:val="0"/>
        </w:rPr>
        <w:t xml:space="preserve">Čl. 5</w:t>
        <w:br w:type="textWrapping"/>
        <w:t xml:space="preserve">Splatnost poplatku</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je splatný nejpozději do 31. března příslušného kalendářního roku.</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Lhůta splatnosti neskončí poplatníkovi dříve než lhůta pro podání ohlášení podle čl. 3 odst. 1 této vyhlášky.</w:t>
      </w:r>
    </w:p>
    <w:p w:rsidR="00000000" w:rsidDel="00000000" w:rsidP="00000000" w:rsidRDefault="00000000" w:rsidRPr="00000000" w14:paraId="00000019">
      <w:pPr>
        <w:pStyle w:val="Heading2"/>
        <w:rPr/>
      </w:pPr>
      <w:r w:rsidDel="00000000" w:rsidR="00000000" w:rsidRPr="00000000">
        <w:rPr>
          <w:rtl w:val="0"/>
        </w:rPr>
        <w:t xml:space="preserve">Čl. 6</w:t>
        <w:br w:type="textWrapping"/>
        <w:t xml:space="preserve"> Osvobození</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poplatník nesplní povinnost ohlásit údaj rozhodný pro osvobození ve lhůtách stanovených touto vyhláškou nebo zákonem, nárok na osvobození zaniká</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pStyle w:val="Heading2"/>
        <w:rPr/>
      </w:pPr>
      <w:r w:rsidDel="00000000" w:rsidR="00000000" w:rsidRPr="00000000">
        <w:rPr>
          <w:rtl w:val="0"/>
        </w:rPr>
        <w:t xml:space="preserve">Čl. 7</w:t>
        <w:br w:type="textWrapping"/>
        <w:t xml:space="preserve"> Přechodné a zrušovací ustanovení</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Poplatkové povinnosti vzniklé před nabytím účinnosti této vyhlášky se posuzují podle dosavadních právních předpisů.</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obecně závazná vyhláška č. 2/2021, o místním poplatku ze psů, ze dne 13. prosince 2021.</w:t>
      </w:r>
    </w:p>
    <w:p w:rsidR="00000000" w:rsidDel="00000000" w:rsidP="00000000" w:rsidRDefault="00000000" w:rsidRPr="00000000" w14:paraId="0000001F">
      <w:pPr>
        <w:pStyle w:val="Heading2"/>
        <w:rPr/>
      </w:pPr>
      <w:r w:rsidDel="00000000" w:rsidR="00000000" w:rsidRPr="00000000">
        <w:rPr>
          <w:rtl w:val="0"/>
        </w:rPr>
        <w:t xml:space="preserve">Čl. 8</w:t>
        <w:br w:type="textWrapping"/>
        <w:t xml:space="preserve">Účinnost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dnem 1. ledna 2024.</w:t>
      </w:r>
    </w:p>
    <w:tbl>
      <w:tblPr>
        <w:tblStyle w:val="Table1"/>
        <w:tblW w:w="9641.0" w:type="dxa"/>
        <w:jc w:val="left"/>
        <w:tblLayout w:type="fixed"/>
        <w:tblLook w:val="0400"/>
      </w:tblPr>
      <w:tblGrid>
        <w:gridCol w:w="4820"/>
        <w:gridCol w:w="4821"/>
        <w:tblGridChange w:id="0">
          <w:tblGrid>
            <w:gridCol w:w="4820"/>
            <w:gridCol w:w="4821"/>
          </w:tblGrid>
        </w:tblGridChange>
      </w:tblGrid>
      <w:tr>
        <w:trPr>
          <w:cantSplit w:val="0"/>
          <w:trHeight w:val="1230" w:hRule="atLeast"/>
          <w:tblHeader w:val="0"/>
        </w:trPr>
        <w:tc>
          <w:tcPr>
            <w:shd w:fill="auto" w:val="clear"/>
            <w:tcMar>
              <w:top w:w="55.0" w:type="dxa"/>
              <w:left w:w="55.0" w:type="dxa"/>
              <w:bottom w:w="55.0" w:type="dxa"/>
              <w:right w:w="55.0" w:type="dxa"/>
            </w:tcMar>
            <w:vAlign w:val="bottom"/>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Libor Alex</w:t>
              <w:br w:type="textWrapping"/>
              <w:t xml:space="preserve"> starosta</w:t>
            </w:r>
          </w:p>
        </w:tc>
        <w:tc>
          <w:tcPr>
            <w:shd w:fill="auto" w:val="clear"/>
            <w:tcMar>
              <w:top w:w="55.0" w:type="dxa"/>
              <w:left w:w="55.0" w:type="dxa"/>
              <w:bottom w:w="55.0" w:type="dxa"/>
              <w:right w:w="55.0" w:type="dxa"/>
            </w:tcMar>
            <w:vAlign w:val="bottom"/>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Pavel Volný</w:t>
              <w:br w:type="textWrapping"/>
              <w:t xml:space="preserve"> místostarosta</w:t>
            </w:r>
          </w:p>
        </w:tc>
      </w:tr>
    </w:tbl>
    <w:p w:rsidR="00000000" w:rsidDel="00000000" w:rsidP="00000000" w:rsidRDefault="00000000" w:rsidRPr="00000000" w14:paraId="00000025">
      <w:pPr>
        <w:rPr/>
      </w:pPr>
      <w:r w:rsidDel="00000000" w:rsidR="00000000" w:rsidRPr="00000000">
        <w:rPr>
          <w:rtl w:val="0"/>
        </w:rPr>
      </w:r>
    </w:p>
    <w:sectPr>
      <w:pgSz w:h="16834" w:w="11909"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5 zákona o místních poplatcích</w:t>
      </w:r>
    </w:p>
  </w:footnote>
  <w:footnote w:id="1">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15 odst. 1 zákona o místních poplatcích</w:t>
      </w:r>
    </w:p>
  </w:footnote>
  <w:footnote w:id="2">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1 a 4 zákona o místních poplatcích</w:t>
      </w:r>
    </w:p>
  </w:footnote>
  <w:footnote w:id="3">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2 zákona o místních poplatcích</w:t>
      </w:r>
    </w:p>
  </w:footnote>
  <w:footnote w:id="4">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1 a 2 zákona o místních poplatcích; v ohlášení poplatník uvede zejména své identifikační údaje a skutečnosti rozhodné pro stanovení poplatku</w:t>
      </w:r>
    </w:p>
  </w:footnote>
  <w:footnote w:id="5">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4 zákona o místních poplatcích</w:t>
      </w:r>
    </w:p>
  </w:footnote>
  <w:footnote w:id="6">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3 zákona o místních poplatcích</w:t>
      </w:r>
    </w:p>
  </w:footnote>
  <w:footnote w:id="7">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2 zákona o místních poplatcích</w:t>
      </w:r>
    </w:p>
  </w:footnote>
  <w:footnote w:id="8">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6 zákona o místních poplatcích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38" w:before="238"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Normln" w:default="1">
    <w:name w:val="Normal"/>
    <w:qFormat w:val="1"/>
    <w:pPr>
      <w:suppressAutoHyphens w:val="1"/>
    </w:pPr>
  </w:style>
  <w:style w:type="paragraph" w:styleId="Nadpis1">
    <w:name w:val="heading 1"/>
    <w:basedOn w:val="Heading"/>
    <w:next w:val="Textbody"/>
    <w:uiPriority w:val="9"/>
    <w:qFormat w:val="1"/>
    <w:pPr>
      <w:spacing w:after="238" w:before="238"/>
      <w:jc w:val="center"/>
      <w:outlineLvl w:val="0"/>
    </w:pPr>
    <w:rPr>
      <w:b w:val="1"/>
      <w:bCs w:val="1"/>
      <w:sz w:val="24"/>
      <w:szCs w:val="24"/>
    </w:rPr>
  </w:style>
  <w:style w:type="paragraph" w:styleId="Nadpis2">
    <w:name w:val="heading 2"/>
    <w:basedOn w:val="Heading"/>
    <w:next w:val="Textbody"/>
    <w:uiPriority w:val="9"/>
    <w:unhideWhenUsed w:val="1"/>
    <w:qFormat w:val="1"/>
    <w:pPr>
      <w:spacing w:before="360" w:line="276" w:lineRule="auto"/>
      <w:jc w:val="center"/>
      <w:outlineLvl w:val="1"/>
    </w:pPr>
    <w:rPr>
      <w:b w:val="1"/>
      <w:bCs w:val="1"/>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PingFang SC" w:hAnsi="Arial"/>
      <w:sz w:val="28"/>
      <w:szCs w:val="28"/>
    </w:rPr>
  </w:style>
  <w:style w:type="paragraph" w:styleId="Textbody" w:customStyle="1">
    <w:name w:val="Text body"/>
    <w:basedOn w:val="Standard"/>
    <w:pPr>
      <w:spacing w:after="140" w:line="276" w:lineRule="auto"/>
    </w:pPr>
    <w:rPr>
      <w:rFonts w:ascii="Arial" w:cs="Arial" w:eastAsia="Arial" w:hAnsi="Arial"/>
    </w:rPr>
  </w:style>
  <w:style w:type="paragraph" w:styleId="Seznam">
    <w:name w:val="List"/>
    <w:basedOn w:val="Textbody"/>
    <w:rPr>
      <w:rFonts w:cs="Arial Unicode MS"/>
    </w:rPr>
  </w:style>
  <w:style w:type="paragraph" w:styleId="Titulek">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Nzev">
    <w:name w:val="Title"/>
    <w:basedOn w:val="Heading"/>
    <w:next w:val="Textbody"/>
    <w:uiPriority w:val="10"/>
    <w:qFormat w:val="1"/>
    <w:pPr>
      <w:jc w:val="center"/>
    </w:pPr>
    <w:rPr>
      <w:b w:val="1"/>
      <w:bCs w:val="1"/>
      <w:sz w:val="24"/>
      <w:szCs w:val="24"/>
    </w:rPr>
  </w:style>
  <w:style w:type="paragraph" w:styleId="UvodniVeta" w:customStyle="1">
    <w:name w:val="UvodniVeta"/>
    <w:basedOn w:val="Textbody"/>
    <w:pPr>
      <w:spacing w:after="120" w:before="62"/>
      <w:jc w:val="both"/>
    </w:pPr>
    <w:rPr>
      <w:sz w:val="22"/>
      <w:szCs w:val="22"/>
    </w:rPr>
  </w:style>
  <w:style w:type="paragraph" w:styleId="Odstavec" w:customStyle="1">
    <w:name w:val="Odstavec"/>
    <w:basedOn w:val="Textbody"/>
    <w:pPr>
      <w:tabs>
        <w:tab w:val="left" w:pos="567"/>
      </w:tabs>
      <w:spacing w:after="120"/>
      <w:jc w:val="both"/>
    </w:pPr>
    <w:rPr>
      <w:sz w:val="22"/>
      <w:szCs w:val="22"/>
    </w:rPr>
  </w:style>
  <w:style w:type="paragraph" w:styleId="TableContents" w:customStyle="1">
    <w:name w:val="Table Contents"/>
    <w:basedOn w:val="Standard"/>
    <w:pPr>
      <w:widowControl w:val="0"/>
      <w:suppressLineNumbers w:val="1"/>
    </w:pPr>
  </w:style>
  <w:style w:type="paragraph" w:styleId="PodpisovePole" w:customStyle="1">
    <w:name w:val="PodpisovePole"/>
    <w:basedOn w:val="TableContents"/>
    <w:pPr>
      <w:jc w:val="center"/>
    </w:pPr>
    <w:rPr>
      <w:rFonts w:ascii="Arial" w:cs="Arial" w:eastAsia="Arial" w:hAnsi="Arial"/>
      <w:sz w:val="22"/>
      <w:szCs w:val="22"/>
    </w:rPr>
  </w:style>
  <w:style w:type="paragraph" w:styleId="Footnote" w:customStyle="1">
    <w:name w:val="Footnote"/>
    <w:basedOn w:val="Standard"/>
    <w:pPr>
      <w:suppressLineNumbers w:val="1"/>
      <w:ind w:left="170" w:hanging="170"/>
    </w:pPr>
    <w:rPr>
      <w:rFonts w:ascii="Arial" w:cs="Arial" w:eastAsia="Arial" w:hAnsi="Arial"/>
      <w:sz w:val="18"/>
      <w:szCs w:val="18"/>
    </w:rPr>
  </w:style>
  <w:style w:type="character" w:styleId="NumberingSymbols" w:customStyle="1">
    <w:name w:val="Numbering Symbols"/>
  </w:style>
  <w:style w:type="character" w:styleId="FootnoteSymbol" w:customStyle="1">
    <w:name w:val="Footnote Symbol"/>
  </w:style>
  <w:style w:type="character" w:styleId="Footnoteanchor" w:customStyle="1">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cs="Mangal" w:hAnsi="Segoe UI"/>
      <w:sz w:val="18"/>
      <w:szCs w:val="16"/>
    </w:rPr>
  </w:style>
  <w:style w:type="character" w:styleId="TextbublinyChar" w:customStyle="1">
    <w:name w:val="Text bubliny Char"/>
    <w:basedOn w:val="Standardnpsmoodstavce"/>
    <w:rPr>
      <w:rFonts w:ascii="Segoe UI" w:cs="Mangal" w:hAnsi="Segoe UI"/>
      <w:sz w:val="18"/>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YaKxor5QUoEex+i4nIHaQMTuQ==">CgMxLjA4AHIhMURvQm9OTHdKWFJQZnpBcXZOcG5wSGpwT3NUUWZ2V1R5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2023-11-28T08:34:00Z</dcterms:created>
  <dc:creator>Onderková Michaela, Ing.</dc:creator>
</cp:coreProperties>
</file>