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spacing w:before="240" w:after="120"/>
        <w:rPr/>
      </w:pPr>
      <w:r>
        <w:rPr/>
      </w:r>
    </w:p>
    <w:p>
      <w:pPr>
        <w:pStyle w:val="Nzev"/>
        <w:rPr>
          <w:rFonts w:ascii="Times New Roman" w:hAnsi="Times New Roman" w:cs="Times New Roman"/>
          <w:sz w:val="72"/>
          <w:szCs w:val="72"/>
        </w:rPr>
      </w:pPr>
      <w:r>
        <w:rPr>
          <w:rFonts w:cs="Times New Roman" w:ascii="Times New Roman" w:hAnsi="Times New Roman"/>
          <w:sz w:val="72"/>
          <w:szCs w:val="72"/>
        </w:rPr>
        <w:t>OBEC VELKÝ CHLUMEC</w:t>
      </w:r>
    </w:p>
    <w:p>
      <w:pPr>
        <w:pStyle w:val="Nzev"/>
        <w:rPr/>
      </w:pPr>
      <w:r>
        <w:rPr/>
        <w:drawing>
          <wp:inline distT="0" distB="0" distL="0" distR="0">
            <wp:extent cx="2110740" cy="2240280"/>
            <wp:effectExtent l="0" t="0" r="0" b="0"/>
            <wp:docPr id="1" name="Obrázek 2" descr="Obsah obrázku symbol, erbovní znak, emblém, ptá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 descr="Obsah obrázku symbol, erbovní znak, emblém, pták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zev"/>
        <w:rPr/>
      </w:pPr>
      <w:r>
        <w:rPr/>
      </w:r>
    </w:p>
    <w:p>
      <w:pPr>
        <w:pStyle w:val="Nzev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Obecně závazná vyhláška obce Velký Chlumec č. 2/2025</w:t>
        <w:br/>
        <w:t>o místním poplatku za užívání veřejného prostranství</w:t>
      </w:r>
    </w:p>
    <w:p>
      <w:pPr>
        <w:pStyle w:val="UvodniVeta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UvodniVeta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Zastupitelstvo obce Velký Chlumec se na svém zasedání dne 17.září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Obec Velký Chlumec touto vyhláškou zavádí místní poplatek za užívání veřejného prostranství (dále jen „poplatek“).</w:t>
      </w:r>
    </w:p>
    <w:p>
      <w:pPr>
        <w:pStyle w:val="Odstavec"/>
        <w:numPr>
          <w:ilvl w:val="0"/>
          <w:numId w:val="2"/>
        </w:numPr>
        <w:rPr/>
      </w:pPr>
      <w:r>
        <w:rPr>
          <w:rStyle w:val="Standardnpsmoodstavce"/>
          <w:rFonts w:cs="Times New Roman" w:ascii="Times New Roman" w:hAnsi="Times New Roman"/>
          <w:sz w:val="28"/>
          <w:szCs w:val="28"/>
        </w:rPr>
        <w:t>Správcem poplatku je obecní úřad</w:t>
      </w:r>
      <w:r>
        <w:rPr>
          <w:rStyle w:val="Znakapoznpodarou"/>
          <w:rStyle w:val="Znakapoznpodarou"/>
          <w:rFonts w:cs="Times New Roman" w:ascii="Times New Roman" w:hAnsi="Times New Roman"/>
          <w:sz w:val="28"/>
          <w:szCs w:val="28"/>
        </w:rPr>
        <w:footnoteReference w:id="2"/>
      </w:r>
      <w:r>
        <w:rPr>
          <w:rStyle w:val="Standardnpsmoodstavce"/>
          <w:rFonts w:cs="Times New Roman" w:ascii="Times New Roman" w:hAnsi="Times New Roman"/>
          <w:sz w:val="28"/>
          <w:szCs w:val="28"/>
        </w:rPr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Čl. 2</w:t>
        <w:br/>
        <w:t>Předmět poplatku a poplatník</w:t>
      </w:r>
    </w:p>
    <w:p>
      <w:pPr>
        <w:pStyle w:val="Odstavec"/>
        <w:numPr>
          <w:ilvl w:val="0"/>
          <w:numId w:val="3"/>
        </w:numPr>
        <w:rPr/>
      </w:pPr>
      <w:r>
        <w:rPr>
          <w:rStyle w:val="Standardnpsmoodstavce"/>
          <w:rFonts w:cs="Times New Roman" w:ascii="Times New Roman" w:hAnsi="Times New Roman"/>
          <w:sz w:val="28"/>
          <w:szCs w:val="28"/>
        </w:rPr>
        <w:t>Poplatek za užívání veřejného prostranství se vybírá za zvláštní užívání veřejného prostranství, kterým se rozumí</w:t>
      </w:r>
      <w:r>
        <w:rPr>
          <w:rStyle w:val="Znakapoznpodarou"/>
          <w:rStyle w:val="Znakapoznpodarou"/>
          <w:rFonts w:cs="Times New Roman" w:ascii="Times New Roman" w:hAnsi="Times New Roman"/>
          <w:sz w:val="28"/>
          <w:szCs w:val="28"/>
        </w:rPr>
        <w:footnoteReference w:id="3"/>
      </w:r>
      <w:r>
        <w:rPr>
          <w:rStyle w:val="Standardnpsmoodstavce"/>
          <w:rFonts w:cs="Times New Roman" w:ascii="Times New Roman" w:hAnsi="Times New Roman"/>
          <w:sz w:val="28"/>
          <w:szCs w:val="28"/>
        </w:rPr>
        <w:t>:</w:t>
      </w:r>
    </w:p>
    <w:p>
      <w:pPr>
        <w:pStyle w:val="Odstavec"/>
        <w:tabs>
          <w:tab w:val="clear" w:pos="567"/>
          <w:tab w:val="left" w:pos="567" w:leader="none"/>
        </w:tabs>
        <w:ind w:left="567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a) umístění dočasných staveb sloužících pro poskytování služeb,</w:t>
      </w:r>
    </w:p>
    <w:p>
      <w:pPr>
        <w:pStyle w:val="Odstavec"/>
        <w:tabs>
          <w:tab w:val="clear" w:pos="567"/>
          <w:tab w:val="left" w:pos="567" w:leader="none"/>
        </w:tabs>
        <w:ind w:left="567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b) umístění zařízení sloužících pro poskytování služeb,</w:t>
      </w:r>
    </w:p>
    <w:p>
      <w:pPr>
        <w:pStyle w:val="Odstavec"/>
        <w:tabs>
          <w:tab w:val="clear" w:pos="567"/>
          <w:tab w:val="left" w:pos="567" w:leader="none"/>
        </w:tabs>
        <w:ind w:left="567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c) umístění dočasných staveb sloužících pro poskytování prodeje,</w:t>
      </w:r>
    </w:p>
    <w:p>
      <w:pPr>
        <w:pStyle w:val="Odstavec"/>
        <w:tabs>
          <w:tab w:val="clear" w:pos="567"/>
          <w:tab w:val="left" w:pos="567" w:leader="none"/>
        </w:tabs>
        <w:ind w:left="567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d) umístění zařízení sloužících pro poskytování prodeje,</w:t>
      </w:r>
    </w:p>
    <w:p>
      <w:pPr>
        <w:pStyle w:val="Odstavec"/>
        <w:tabs>
          <w:tab w:val="clear" w:pos="567"/>
          <w:tab w:val="left" w:pos="567" w:leader="none"/>
        </w:tabs>
        <w:ind w:left="567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e) umístění reklamních zařízení,</w:t>
      </w:r>
    </w:p>
    <w:p>
      <w:pPr>
        <w:pStyle w:val="Odstavec"/>
        <w:tabs>
          <w:tab w:val="clear" w:pos="567"/>
          <w:tab w:val="left" w:pos="567" w:leader="none"/>
        </w:tabs>
        <w:ind w:left="567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f) provádění výkopových prací,</w:t>
      </w:r>
    </w:p>
    <w:p>
      <w:pPr>
        <w:pStyle w:val="Odstavec"/>
        <w:tabs>
          <w:tab w:val="clear" w:pos="567"/>
          <w:tab w:val="left" w:pos="567" w:leader="none"/>
        </w:tabs>
        <w:ind w:left="567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g) umístění stavebních zařízení,</w:t>
      </w:r>
    </w:p>
    <w:p>
      <w:pPr>
        <w:pStyle w:val="Odstavec"/>
        <w:tabs>
          <w:tab w:val="clear" w:pos="567"/>
          <w:tab w:val="left" w:pos="567" w:leader="none"/>
        </w:tabs>
        <w:ind w:left="567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h) umístění skládek,</w:t>
      </w:r>
    </w:p>
    <w:p>
      <w:pPr>
        <w:pStyle w:val="Odstavec"/>
        <w:tabs>
          <w:tab w:val="clear" w:pos="567"/>
          <w:tab w:val="left" w:pos="567" w:leader="none"/>
        </w:tabs>
        <w:ind w:left="567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i) umístění zařízení cirkusů,</w:t>
      </w:r>
    </w:p>
    <w:p>
      <w:pPr>
        <w:pStyle w:val="Odstavec"/>
        <w:tabs>
          <w:tab w:val="clear" w:pos="567"/>
          <w:tab w:val="left" w:pos="567" w:leader="none"/>
        </w:tabs>
        <w:ind w:left="567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j) umístění zařízení lunaparků a jiných obdobných atrakcí,</w:t>
      </w:r>
    </w:p>
    <w:p>
      <w:pPr>
        <w:pStyle w:val="Odstavec"/>
        <w:tabs>
          <w:tab w:val="clear" w:pos="567"/>
          <w:tab w:val="left" w:pos="567" w:leader="none"/>
        </w:tabs>
        <w:ind w:left="567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k) vyhrazení trvalého parkovacího místa,</w:t>
      </w:r>
    </w:p>
    <w:p>
      <w:pPr>
        <w:pStyle w:val="Odstavec"/>
        <w:tabs>
          <w:tab w:val="clear" w:pos="567"/>
          <w:tab w:val="left" w:pos="567" w:leader="none"/>
        </w:tabs>
        <w:ind w:left="567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l) užívání veřejného prostranství pro kulturní akce,</w:t>
      </w:r>
    </w:p>
    <w:p>
      <w:pPr>
        <w:pStyle w:val="Odstavec"/>
        <w:tabs>
          <w:tab w:val="clear" w:pos="567"/>
          <w:tab w:val="left" w:pos="567" w:leader="none"/>
        </w:tabs>
        <w:ind w:left="567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m) užívání veřejného prostranství pro sportovní akce,</w:t>
      </w:r>
    </w:p>
    <w:p>
      <w:pPr>
        <w:pStyle w:val="Odstavec"/>
        <w:tabs>
          <w:tab w:val="clear" w:pos="567"/>
          <w:tab w:val="left" w:pos="567" w:leader="none"/>
        </w:tabs>
        <w:ind w:left="567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n) užívání veřejného prostranství pro reklamní akce,</w:t>
      </w:r>
    </w:p>
    <w:p>
      <w:pPr>
        <w:pStyle w:val="Odstavec"/>
        <w:tabs>
          <w:tab w:val="clear" w:pos="567"/>
          <w:tab w:val="left" w:pos="567" w:leader="none"/>
        </w:tabs>
        <w:ind w:left="567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o) užívání veřejného prostranství pro potřeby tvorby filmových a televizních děl.</w:t>
      </w:r>
    </w:p>
    <w:p>
      <w:pPr>
        <w:pStyle w:val="Odstavec"/>
        <w:numPr>
          <w:ilvl w:val="0"/>
          <w:numId w:val="3"/>
        </w:numPr>
        <w:rPr/>
      </w:pPr>
      <w:r>
        <w:rPr>
          <w:rStyle w:val="Standardnpsmoodstavce"/>
          <w:rFonts w:cs="Times New Roman" w:ascii="Times New Roman" w:hAnsi="Times New Roman"/>
          <w:sz w:val="28"/>
          <w:szCs w:val="28"/>
        </w:rP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  <w:rStyle w:val="Znakapoznpodarou"/>
          <w:rFonts w:cs="Times New Roman" w:ascii="Times New Roman" w:hAnsi="Times New Roman"/>
          <w:sz w:val="28"/>
          <w:szCs w:val="28"/>
        </w:rPr>
        <w:footnoteReference w:id="4"/>
      </w:r>
      <w:r>
        <w:rPr>
          <w:rStyle w:val="Standardnpsmoodstavce"/>
          <w:rFonts w:cs="Times New Roman" w:ascii="Times New Roman" w:hAnsi="Times New Roman"/>
          <w:sz w:val="28"/>
          <w:szCs w:val="28"/>
        </w:rPr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Čl. 3</w:t>
        <w:br/>
        <w:t>Veřejná prostranství</w:t>
      </w:r>
    </w:p>
    <w:p>
      <w:pPr>
        <w:pStyle w:val="Odstavec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Poplatek se platí za užívání veřejných prostranství, která jsou uvedena v příloze č. 1. Tato příloha tvoří nedílnou součást této vyhlášky.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Čl. 4</w:t>
        <w:br/>
        <w:t>Ohlašovací povinnost</w:t>
      </w:r>
    </w:p>
    <w:p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Poplatník je povinen podat správci poplatku ohlášení nejpozději 30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>
      <w:pPr>
        <w:pStyle w:val="Odstavec"/>
        <w:numPr>
          <w:ilvl w:val="0"/>
          <w:numId w:val="4"/>
        </w:numPr>
        <w:rPr/>
      </w:pPr>
      <w:r>
        <w:rPr>
          <w:rStyle w:val="Standardnpsmoodstavce"/>
          <w:rFonts w:cs="Times New Roman" w:ascii="Times New Roman" w:hAnsi="Times New Roman"/>
          <w:sz w:val="28"/>
          <w:szCs w:val="28"/>
        </w:rPr>
        <w:t>Údaje uváděné v ohlášení upravuje zákon</w:t>
      </w:r>
      <w:r>
        <w:rPr>
          <w:rStyle w:val="Znakapoznpodarou"/>
          <w:rStyle w:val="Znakapoznpodarou"/>
          <w:rFonts w:cs="Times New Roman" w:ascii="Times New Roman" w:hAnsi="Times New Roman"/>
          <w:sz w:val="28"/>
          <w:szCs w:val="28"/>
        </w:rPr>
        <w:footnoteReference w:id="5"/>
      </w:r>
      <w:r>
        <w:rPr>
          <w:rStyle w:val="Standardnpsmoodstavce"/>
          <w:rFonts w:cs="Times New Roman" w:ascii="Times New Roman" w:hAnsi="Times New Roman"/>
          <w:sz w:val="28"/>
          <w:szCs w:val="28"/>
        </w:rPr>
        <w:t>.</w:t>
      </w:r>
    </w:p>
    <w:p>
      <w:pPr>
        <w:pStyle w:val="Odstavec"/>
        <w:numPr>
          <w:ilvl w:val="0"/>
          <w:numId w:val="4"/>
        </w:numPr>
        <w:rPr/>
      </w:pPr>
      <w:r>
        <w:rPr>
          <w:rStyle w:val="Standardnpsmoodstavce"/>
          <w:rFonts w:cs="Times New Roman" w:ascii="Times New Roman" w:hAnsi="Times New Roman"/>
          <w:sz w:val="28"/>
          <w:szCs w:val="28"/>
        </w:rPr>
        <w:t>Dojde-li ke změně údajů uvedených v ohlášení, je poplatník povinen tuto změnu oznámit do 15 dnů ode dne, kdy nastala</w:t>
      </w:r>
      <w:r>
        <w:rPr>
          <w:rStyle w:val="Znakapoznpodarou"/>
          <w:rStyle w:val="Znakapoznpodarou"/>
          <w:rFonts w:cs="Times New Roman" w:ascii="Times New Roman" w:hAnsi="Times New Roman"/>
          <w:sz w:val="28"/>
          <w:szCs w:val="28"/>
        </w:rPr>
        <w:footnoteReference w:id="6"/>
      </w:r>
      <w:r>
        <w:rPr>
          <w:rStyle w:val="Standardnpsmoodstavce"/>
          <w:rFonts w:cs="Times New Roman" w:ascii="Times New Roman" w:hAnsi="Times New Roman"/>
          <w:sz w:val="28"/>
          <w:szCs w:val="28"/>
        </w:rPr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Čl. 5</w:t>
        <w:br/>
        <w:t>Sazba poplatku</w:t>
      </w:r>
    </w:p>
    <w:p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Sazba poplatku činí za každý i započatý m² a každý i započatý den:</w:t>
      </w:r>
    </w:p>
    <w:p>
      <w:pPr>
        <w:pStyle w:val="Odstavec"/>
        <w:tabs>
          <w:tab w:val="clear" w:pos="567"/>
          <w:tab w:val="left" w:pos="567" w:leader="none"/>
        </w:tabs>
        <w:ind w:left="567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a) za umístění dočasných staveb sloužících pro poskytování služeb 10 Kč,</w:t>
      </w:r>
    </w:p>
    <w:p>
      <w:pPr>
        <w:pStyle w:val="Odstavec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sz w:val="28"/>
          <w:szCs w:val="28"/>
        </w:rPr>
        <w:t>b) za umístění zařízení sloužících pro poskytování služeb 10 Kč,</w:t>
      </w:r>
    </w:p>
    <w:p>
      <w:pPr>
        <w:pStyle w:val="Odstavec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sz w:val="28"/>
          <w:szCs w:val="28"/>
        </w:rPr>
        <w:t>c) za provádění výkopových prací 10 Kč,</w:t>
      </w:r>
    </w:p>
    <w:p>
      <w:pPr>
        <w:pStyle w:val="Odstavec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sz w:val="28"/>
          <w:szCs w:val="28"/>
        </w:rPr>
        <w:t>d) za umístění stavebních zařízení 10 Kč,</w:t>
      </w:r>
    </w:p>
    <w:p>
      <w:pPr>
        <w:pStyle w:val="Odstavec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sz w:val="28"/>
          <w:szCs w:val="28"/>
        </w:rPr>
        <w:t>e) za umístění skládek 10 Kč,</w:t>
      </w:r>
    </w:p>
    <w:p>
      <w:pPr>
        <w:pStyle w:val="Odstavec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sz w:val="28"/>
          <w:szCs w:val="28"/>
        </w:rPr>
        <w:t>f) za užívání veřejného prostranství pro kulturní akce 10 Kč,</w:t>
      </w:r>
    </w:p>
    <w:p>
      <w:pPr>
        <w:pStyle w:val="Odstavec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sz w:val="28"/>
          <w:szCs w:val="28"/>
        </w:rPr>
        <w:t>g) za užívání veřejného prostranství pro sportovní akce 10 Kč,</w:t>
      </w:r>
    </w:p>
    <w:p>
      <w:pPr>
        <w:pStyle w:val="Odstavec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sz w:val="28"/>
          <w:szCs w:val="28"/>
        </w:rPr>
        <w:t>h) za užívání veřejného prostranství pro reklamní akce 10 Kč,</w:t>
      </w:r>
    </w:p>
    <w:p>
      <w:pPr>
        <w:pStyle w:val="Odstave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  <w:r>
        <w:rPr>
          <w:rFonts w:cs="Times New Roman" w:ascii="Times New Roman" w:hAnsi="Times New Roman"/>
          <w:sz w:val="28"/>
          <w:szCs w:val="28"/>
        </w:rPr>
        <w:t>i) za užívání veřejného prostranství pro potřeby tvorby filmových a televizních děl 10 Kč.</w:t>
      </w:r>
    </w:p>
    <w:p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Obec stanovuje poplatek paušální částkou:</w:t>
      </w:r>
    </w:p>
    <w:p>
      <w:pPr>
        <w:pStyle w:val="Odstave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a) za umístění dočasných staveb sloužících pro poskytování prodeje 140 Kč za týden,</w:t>
      </w:r>
    </w:p>
    <w:p>
      <w:pPr>
        <w:pStyle w:val="Odstavec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sz w:val="28"/>
          <w:szCs w:val="28"/>
        </w:rPr>
        <w:t>b) za umístění zařízení sloužících pro poskytování prodeje 140 Kč za týden,</w:t>
      </w:r>
    </w:p>
    <w:p>
      <w:pPr>
        <w:pStyle w:val="Odstavec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sz w:val="28"/>
          <w:szCs w:val="28"/>
        </w:rPr>
        <w:t>c) za umístění reklamních zařízení 140 Kč za týden,</w:t>
      </w:r>
    </w:p>
    <w:p>
      <w:pPr>
        <w:pStyle w:val="Odstavec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sz w:val="28"/>
          <w:szCs w:val="28"/>
        </w:rPr>
        <w:t>d) za umístění zařízení cirkusů 140 Kč za týden,</w:t>
      </w:r>
    </w:p>
    <w:p>
      <w:pPr>
        <w:pStyle w:val="Odstavec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sz w:val="28"/>
          <w:szCs w:val="28"/>
        </w:rPr>
        <w:t>e) za umístění zařízení lunaparků a jiných obdobných atrakcí 140 Kč za týden,</w:t>
      </w:r>
    </w:p>
    <w:p>
      <w:pPr>
        <w:pStyle w:val="Odstavec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sz w:val="28"/>
          <w:szCs w:val="28"/>
        </w:rPr>
        <w:t>f) za vyhrazení trvalého parkovacího místa 500 Kč za měsíc,</w:t>
      </w:r>
    </w:p>
    <w:p>
      <w:pPr>
        <w:pStyle w:val="Odstavec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sz w:val="28"/>
          <w:szCs w:val="28"/>
        </w:rPr>
        <w:t>g) za vyhrazení trvalého parkovacího místa 2000 Kč za rok.</w:t>
      </w:r>
    </w:p>
    <w:p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Volbu placení poplatku paušální částkou včetně výběru varianty paušální částky sdělí poplatník správci poplatku v rámci ohlášení dle čl. 4.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Čl. 6</w:t>
        <w:br/>
        <w:t>Splatnost poplatku</w:t>
      </w:r>
    </w:p>
    <w:p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Poplatek je splatný v den ukončení užívání veřejného prostranství.</w:t>
      </w:r>
    </w:p>
    <w:p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Poplatek stanovený paušální částkou je splatný do 15 dnů od počátku každého poplatkového období.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Čl. 7</w:t>
        <w:br/>
        <w:t xml:space="preserve"> Osvobození</w:t>
      </w:r>
    </w:p>
    <w:p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Poplatek se neplatí:</w:t>
      </w:r>
    </w:p>
    <w:p>
      <w:pPr>
        <w:pStyle w:val="Odstavec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za vyhrazení trvalého parkovacího místa pro osobu, která je držitelem průkazu ZTP nebo ZTP/P,</w:t>
      </w:r>
    </w:p>
    <w:p>
      <w:pPr>
        <w:pStyle w:val="Odstavec"/>
        <w:numPr>
          <w:ilvl w:val="1"/>
          <w:numId w:val="7"/>
        </w:numPr>
        <w:rPr/>
      </w:pPr>
      <w:r>
        <w:rPr>
          <w:rStyle w:val="Standardnpsmoodstavce"/>
          <w:rFonts w:cs="Times New Roman" w:ascii="Times New Roman" w:hAnsi="Times New Roman"/>
          <w:sz w:val="28"/>
          <w:szCs w:val="28"/>
        </w:rPr>
        <w:t>z akcí pořádaných na veřejném prostranství, jejichž celý výtěžek je odveden na charitativní a veřejně prospěšné účely</w:t>
      </w:r>
      <w:r>
        <w:rPr>
          <w:rStyle w:val="Znakapoznpodarou"/>
          <w:rStyle w:val="Znakapoznpodarou"/>
          <w:rFonts w:cs="Times New Roman" w:ascii="Times New Roman" w:hAnsi="Times New Roman"/>
          <w:sz w:val="28"/>
          <w:szCs w:val="28"/>
        </w:rPr>
        <w:footnoteReference w:id="7"/>
      </w:r>
      <w:r>
        <w:rPr>
          <w:rStyle w:val="Standardnpsmoodstavce"/>
          <w:rFonts w:cs="Times New Roman" w:ascii="Times New Roman" w:hAnsi="Times New Roman"/>
          <w:sz w:val="28"/>
          <w:szCs w:val="28"/>
        </w:rPr>
        <w:t>.</w:t>
      </w:r>
    </w:p>
    <w:p>
      <w:pPr>
        <w:pStyle w:val="Odstavec"/>
        <w:numPr>
          <w:ilvl w:val="0"/>
          <w:numId w:val="7"/>
        </w:numPr>
        <w:rPr/>
      </w:pPr>
      <w:r>
        <w:rPr>
          <w:rStyle w:val="Standardnpsmoodstavce"/>
          <w:rFonts w:cs="Times New Roman" w:ascii="Times New Roman" w:hAnsi="Times New Roman"/>
          <w:sz w:val="28"/>
          <w:szCs w:val="28"/>
        </w:rP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  <w:rStyle w:val="Znakapoznpodarou"/>
          <w:rFonts w:cs="Times New Roman" w:ascii="Times New Roman" w:hAnsi="Times New Roman"/>
          <w:sz w:val="28"/>
          <w:szCs w:val="28"/>
        </w:rPr>
        <w:footnoteReference w:id="8"/>
      </w:r>
      <w:r>
        <w:rPr>
          <w:rStyle w:val="Standardnpsmoodstavce"/>
          <w:rFonts w:cs="Times New Roman" w:ascii="Times New Roman" w:hAnsi="Times New Roman"/>
          <w:sz w:val="28"/>
          <w:szCs w:val="28"/>
        </w:rPr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Čl. 8</w:t>
        <w:br/>
        <w:t xml:space="preserve"> Přechodné a zrušovací ustanovení</w:t>
      </w:r>
    </w:p>
    <w:p>
      <w:pPr>
        <w:pStyle w:val="Odstavec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Poplatkové povinnosti vzniklé před nabytím účinnosti této vyhlášky se posuzují podle dosavadních právních předpisů.</w:t>
      </w:r>
    </w:p>
    <w:p>
      <w:pPr>
        <w:pStyle w:val="Odstavec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Zrušuje se obecně závazná vyhláška č. 5/2019, vyhláška č. 5 2019 o místním poplatku za užívání veřejného prostranství, ze dne 13. listopadu 2019.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Čl. 9</w:t>
        <w:br/>
        <w:t>Účinnost</w:t>
      </w:r>
    </w:p>
    <w:p>
      <w:pPr>
        <w:pStyle w:val="Odstavec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Tato vyhláška nabývá účinnosti dnem 1. října 2025.</w:t>
      </w:r>
    </w:p>
    <w:tbl>
      <w:tblPr>
        <w:tblW w:w="9641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shd w:fill="auto" w:val="clear"/>
            <w:vAlign w:val="bottom"/>
          </w:tcPr>
          <w:p>
            <w:pPr>
              <w:pStyle w:val="PodpisovePo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Marek Kukrle v. r.</w:t>
              <w:br/>
              <w:t xml:space="preserve"> starosta</w:t>
            </w:r>
          </w:p>
        </w:tc>
        <w:tc>
          <w:tcPr>
            <w:tcW w:w="4821" w:type="dxa"/>
            <w:tcBorders/>
            <w:shd w:fill="auto" w:val="clear"/>
            <w:vAlign w:val="bottom"/>
          </w:tcPr>
          <w:p>
            <w:pPr>
              <w:pStyle w:val="PodpisovePo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Dušan Eliášek v. r.</w:t>
              <w:br/>
              <w:t xml:space="preserve"> místostarosta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shd w:fill="auto" w:val="clear"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1" w:type="dxa"/>
            <w:tcBorders/>
            <w:shd w:fill="auto" w:val="clear"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ln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"/>
        <w:rPr/>
      </w:pPr>
      <w:r>
        <w:rPr>
          <w:rStyle w:val="FootnoteCharacters1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Footnote"/>
        <w:rPr/>
      </w:pPr>
      <w:r>
        <w:rPr>
          <w:rStyle w:val="FootnoteCharacters1"/>
        </w:rPr>
        <w:footnoteRef/>
      </w:r>
      <w:r>
        <w:rPr/>
        <w:tab/>
        <w:t>§ 4 odst. 1 zákona o místních poplatcích</w:t>
      </w:r>
    </w:p>
  </w:footnote>
  <w:footnote w:id="4">
    <w:p>
      <w:pPr>
        <w:pStyle w:val="Footnote"/>
        <w:rPr/>
      </w:pPr>
      <w:r>
        <w:rPr>
          <w:rStyle w:val="FootnoteCharacters1"/>
        </w:rPr>
        <w:footnoteRef/>
      </w:r>
      <w:r>
        <w:rPr/>
        <w:tab/>
        <w:t>§ 4 odst. 2 zákona o místních poplatcích</w:t>
      </w:r>
    </w:p>
  </w:footnote>
  <w:footnote w:id="5">
    <w:p>
      <w:pPr>
        <w:pStyle w:val="Footnote"/>
        <w:rPr/>
      </w:pPr>
      <w:r>
        <w:rPr>
          <w:rStyle w:val="FootnoteCharacters1"/>
        </w:rPr>
        <w:footnoteRef/>
      </w:r>
      <w:r>
        <w:rPr/>
        <w:tab/>
        <w:t>§ 14a odst. 1 a 2 zákona o místních poplatcích; v ohlášení poplatník uvede zejména své identifikační údaje a skutečnosti rozhodné pro stanovení poplatku</w:t>
      </w:r>
    </w:p>
  </w:footnote>
  <w:footnote w:id="6">
    <w:p>
      <w:pPr>
        <w:pStyle w:val="Footnote"/>
        <w:rPr/>
      </w:pPr>
      <w:r>
        <w:rPr>
          <w:rStyle w:val="FootnoteCharacters1"/>
        </w:rPr>
        <w:footnoteRef/>
      </w:r>
      <w:r>
        <w:rPr/>
        <w:tab/>
        <w:t>§ 14a odst. 4 zákona o místních poplatcích</w:t>
      </w:r>
    </w:p>
  </w:footnote>
  <w:footnote w:id="7">
    <w:p>
      <w:pPr>
        <w:pStyle w:val="Footnote"/>
        <w:rPr/>
      </w:pPr>
      <w:r>
        <w:rPr>
          <w:rStyle w:val="FootnoteCharacters1"/>
        </w:rPr>
        <w:footnoteRef/>
      </w:r>
      <w:r>
        <w:rPr/>
        <w:tab/>
        <w:t>§ 4 odst. 1 zákona o místních poplatcích</w:t>
      </w:r>
    </w:p>
  </w:footnote>
  <w:footnote w:id="8">
    <w:p>
      <w:pPr>
        <w:pStyle w:val="Footnote"/>
        <w:rPr/>
      </w:pPr>
      <w:r>
        <w:rPr>
          <w:rStyle w:val="FootnoteCharacters1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567" w:hanging="567"/>
      </w:pPr>
      <w:rPr>
        <w:sz w:val="28"/>
        <w:szCs w:val="28"/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Times New Roman" w:hAnsi="Times New Roman" w:eastAsia="Arial" w:cs="Times New Roman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ind w:left="567" w:hanging="567"/>
      </w:pPr>
      <w:rPr>
        <w:sz w:val="28"/>
        <w:szCs w:val="28"/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Times New Roman" w:hAnsi="Times New Roman" w:eastAsia="Arial" w:cs="Times New Roman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ind w:left="567" w:hanging="567"/>
      </w:pPr>
      <w:rPr>
        <w:sz w:val="28"/>
        <w:szCs w:val="28"/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Times New Roman" w:hAnsi="Times New Roman" w:eastAsia="Arial" w:cs="Times New Roman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567" w:hanging="567"/>
      </w:pPr>
      <w:rPr>
        <w:sz w:val="28"/>
        <w:szCs w:val="28"/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Times New Roman" w:hAnsi="Times New Roman" w:eastAsia="Arial" w:cs="Times New Roman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ind w:left="567" w:hanging="567"/>
      </w:pPr>
      <w:rPr>
        <w:sz w:val="28"/>
        <w:szCs w:val="28"/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Times New Roman" w:hAnsi="Times New Roman" w:eastAsia="Arial" w:cs="Times New Roman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ind w:left="567" w:hanging="567"/>
      </w:pPr>
      <w:rPr>
        <w:sz w:val="28"/>
        <w:szCs w:val="28"/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Times New Roman" w:hAnsi="Times New Roman" w:eastAsia="Arial" w:cs="Times New Roman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>
    <w:lvl w:ilvl="0">
      <w:start w:val="1"/>
      <w:numFmt w:val="decimal"/>
      <w:lvlText w:val="(%1)"/>
      <w:lvlJc w:val="left"/>
      <w:pPr>
        <w:ind w:left="567" w:hanging="567"/>
      </w:pPr>
      <w:rPr>
        <w:sz w:val="28"/>
        <w:szCs w:val="28"/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Times New Roman" w:hAnsi="Times New Roman" w:eastAsia="Arial" w:cs="Times New Roman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45"/>
  <w:defaultTabStop w:val="709"/>
  <w:autoHyphenation w:val="false"/>
  <w:footnotePr>
    <w:numFmt w:val="decimal"/>
    <w:footnote w:id="0"/>
    <w:footnote w:id="1"/>
  </w:footnotePr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cs-CZ" w:eastAsia="zh-CN" w:bidi="hi-IN"/>
    </w:rPr>
  </w:style>
  <w:style w:type="character" w:styleId="Standardnpsmoodstavce">
    <w:name w:val="Standardní písmo odstavce"/>
    <w:qFormat/>
    <w:rPr/>
  </w:style>
  <w:style w:type="character" w:styleId="NumberingSymbols">
    <w:name w:val="Numbering Symbols"/>
    <w:qFormat/>
    <w:rPr/>
  </w:style>
  <w:style w:type="character" w:styleId="FootnoteCharacters">
    <w:name w:val="Footnote Characters"/>
    <w:qFormat/>
    <w:rPr/>
  </w:style>
  <w:style w:type="character" w:styleId="FootnoteAnchor">
    <w:name w:val="Footnote Anchor"/>
    <w:qFormat/>
    <w:rPr>
      <w:position w:val="24"/>
      <w:sz w:val="16"/>
    </w:rPr>
  </w:style>
  <w:style w:type="character" w:styleId="Znakapoznpodarou">
    <w:name w:val="Značka pozn. pod čarou"/>
    <w:basedOn w:val="Standardnpsmoodstavce"/>
    <w:rPr>
      <w:position w:val="24"/>
      <w:sz w:val="16"/>
    </w:rPr>
  </w:style>
  <w:style w:type="character" w:styleId="WWCharLFO1LVL1">
    <w:name w:val="WW_CharLFO1LVL1"/>
    <w:qFormat/>
    <w:rPr>
      <w:rFonts w:ascii="Times New Roman" w:hAnsi="Times New Roman" w:cs="Times New Roman"/>
      <w:sz w:val="28"/>
      <w:szCs w:val="28"/>
    </w:rPr>
  </w:style>
  <w:style w:type="character" w:styleId="WWCharLFO1LVL2">
    <w:name w:val="WW_CharLFO1LVL2"/>
    <w:qFormat/>
    <w:rPr>
      <w:rFonts w:ascii="Times New Roman" w:hAnsi="Times New Roman" w:eastAsia="Arial" w:cs="Times New Roman"/>
    </w:rPr>
  </w:style>
  <w:style w:type="character" w:styleId="FootnoteCharacters1">
    <w:name w:val="Footnote Characters"/>
    <w:qFormat/>
    <w:rPr/>
  </w:style>
  <w:style w:type="character" w:styleId="EndnoteAnchor">
    <w:name w:val="Endnote Anchor"/>
    <w:rPr>
      <w:vertAlign w:val="superscript"/>
    </w:rPr>
  </w:style>
  <w:style w:type="character" w:styleId="EndnoteCharacters">
    <w:name w:val="Endnote Characters"/>
    <w:qFormat/>
    <w:rPr/>
  </w:style>
  <w:style w:type="paragraph" w:styleId="Nadpis1">
    <w:name w:val="Nadpis 1"/>
    <w:basedOn w:val="Heading"/>
    <w:next w:val="TextBody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Nadpis 2"/>
    <w:basedOn w:val="Heading"/>
    <w:next w:val="TextBody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cs-CZ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uppressAutoHyphens w:val="true"/>
      <w:spacing w:before="240" w:after="120"/>
    </w:pPr>
    <w:rPr>
      <w:rFonts w:ascii="Arial" w:hAnsi="Arial" w:eastAsia="PingFang SC" w:cs="Arial"/>
      <w:sz w:val="28"/>
      <w:szCs w:val="28"/>
    </w:rPr>
  </w:style>
  <w:style w:type="paragraph" w:styleId="TextBody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Seznam">
    <w:name w:val="Seznam"/>
    <w:basedOn w:val="TextBody"/>
    <w:qFormat/>
    <w:pPr>
      <w:suppressAutoHyphens w:val="true"/>
    </w:pPr>
    <w:rPr>
      <w:rFonts w:cs="Arial Unicode MS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Index">
    <w:name w:val="Index"/>
    <w:basedOn w:val="Normal"/>
    <w:qFormat/>
    <w:pPr>
      <w:suppressLineNumbers/>
      <w:suppressAutoHyphens w:val="true"/>
    </w:pPr>
    <w:rPr/>
  </w:style>
  <w:style w:type="paragraph" w:styleId="Nzev">
    <w:name w:val="Název"/>
    <w:basedOn w:val="Heading"/>
    <w:next w:val="TextBody"/>
    <w:qFormat/>
    <w:pPr>
      <w:suppressAutoHyphens w:val="true"/>
      <w:jc w:val="center"/>
    </w:pPr>
    <w:rPr>
      <w:b/>
      <w:bCs/>
      <w:sz w:val="24"/>
      <w:szCs w:val="24"/>
    </w:rPr>
  </w:style>
  <w:style w:type="paragraph" w:styleId="UvodniVeta">
    <w:name w:val="UvodniVeta"/>
    <w:basedOn w:val="TextBody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extBody"/>
    <w:qFormat/>
    <w:pPr>
      <w:tabs>
        <w:tab w:val="clear" w:pos="709"/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TableContents">
    <w:name w:val="Table Contents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TableContents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Footnote">
    <w:name w:val="Footnote Text"/>
    <w:basedOn w:val="Normal"/>
    <w:pPr>
      <w:suppressLineNumbers/>
      <w:tabs>
        <w:tab w:val="clear" w:pos="709"/>
      </w:tabs>
      <w:suppressAutoHyphens w:val="true"/>
      <w:ind w:left="170" w:hanging="170"/>
    </w:pPr>
    <w:rPr>
      <w:rFonts w:ascii="Arial" w:hAnsi="Arial" w:eastAsia="Arial" w:cs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1063</TotalTime>
  <Application>Trio_Office/6.2.8.2$Windows_x86 LibreOffice_project/</Application>
  <Pages>4</Pages>
  <Words>707</Words>
  <CharactersWithSpaces>4876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2024-09-29T07:55:00Z</dcterms:created>
  <dc:creator>Dušan Eliášek</dc:creator>
  <dc:description/>
  <dc:language>cs-CZ</dc:language>
  <cp:lastModifiedBy>Marek Kukrle</cp:lastModifiedBy>
  <dcterms:modified xsi:type="dcterms:W3CDTF">2025-09-05T14:23:00Z</dcterms:modified>
  <cp:revision>18</cp:revision>
  <dc:subject/>
  <dc:title/>
</cp:coreProperties>
</file>