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1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62212">
        <w:rPr>
          <w:rFonts w:ascii="Arial" w:hAnsi="Arial" w:cs="Arial"/>
          <w:b/>
        </w:rPr>
        <w:t>DOLNÍ LOMNÁ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62212">
        <w:rPr>
          <w:rFonts w:ascii="Arial" w:hAnsi="Arial" w:cs="Arial"/>
          <w:b/>
        </w:rPr>
        <w:t>Dolní Lomná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62212">
        <w:rPr>
          <w:rFonts w:ascii="Arial" w:hAnsi="Arial" w:cs="Arial"/>
          <w:b/>
        </w:rPr>
        <w:t>Dolní Lomná</w:t>
      </w:r>
      <w:r>
        <w:rPr>
          <w:rFonts w:ascii="Arial" w:hAnsi="Arial" w:cs="Arial"/>
          <w:b/>
        </w:rPr>
        <w:t xml:space="preserve"> č. </w:t>
      </w:r>
      <w:r w:rsidR="00754BAA">
        <w:rPr>
          <w:rFonts w:ascii="Arial" w:hAnsi="Arial" w:cs="Arial"/>
          <w:b/>
        </w:rPr>
        <w:t>……….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62212">
        <w:rPr>
          <w:rFonts w:ascii="Arial" w:hAnsi="Arial" w:cs="Arial"/>
          <w:sz w:val="22"/>
          <w:szCs w:val="22"/>
        </w:rPr>
        <w:t>Dolní Lomná s</w:t>
      </w:r>
      <w:r w:rsidR="00893F98" w:rsidRPr="002B668D">
        <w:rPr>
          <w:rFonts w:ascii="Arial" w:hAnsi="Arial" w:cs="Arial"/>
          <w:sz w:val="22"/>
          <w:szCs w:val="22"/>
        </w:rPr>
        <w:t xml:space="preserve">e na svém zasedání dne </w:t>
      </w:r>
      <w:proofErr w:type="gramStart"/>
      <w:r w:rsidR="00D44C72">
        <w:rPr>
          <w:rFonts w:ascii="Arial" w:hAnsi="Arial" w:cs="Arial"/>
          <w:sz w:val="22"/>
          <w:szCs w:val="22"/>
        </w:rPr>
        <w:t>19.12.2022</w:t>
      </w:r>
      <w:proofErr w:type="gramEnd"/>
      <w:r w:rsidR="00D44C7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D44C72">
        <w:rPr>
          <w:rFonts w:ascii="Arial" w:hAnsi="Arial" w:cs="Arial"/>
          <w:sz w:val="22"/>
          <w:szCs w:val="22"/>
        </w:rPr>
        <w:t>3</w:t>
      </w:r>
      <w:r w:rsidR="006050F9">
        <w:rPr>
          <w:rFonts w:ascii="Arial" w:hAnsi="Arial" w:cs="Arial"/>
          <w:sz w:val="22"/>
          <w:szCs w:val="22"/>
        </w:rPr>
        <w:t>/97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62212">
        <w:rPr>
          <w:rFonts w:ascii="Arial" w:hAnsi="Arial" w:cs="Arial"/>
          <w:sz w:val="22"/>
          <w:szCs w:val="22"/>
        </w:rPr>
        <w:t>Dolní Lomná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62212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562212">
        <w:rPr>
          <w:rFonts w:ascii="Arial" w:hAnsi="Arial" w:cs="Arial"/>
          <w:sz w:val="22"/>
          <w:szCs w:val="22"/>
        </w:rPr>
        <w:t>rávci poplatku ve lhůtě 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46B74" w:rsidRDefault="00D46B74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46B74" w:rsidRDefault="00D46B74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D46B74" w:rsidRPr="008A346C" w:rsidRDefault="00D46B74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562212">
        <w:rPr>
          <w:rFonts w:ascii="Arial" w:hAnsi="Arial" w:cs="Arial"/>
          <w:sz w:val="22"/>
          <w:szCs w:val="22"/>
        </w:rPr>
        <w:t xml:space="preserve">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562212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(4)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46554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62212">
        <w:rPr>
          <w:rFonts w:ascii="Arial" w:hAnsi="Arial" w:cs="Arial"/>
          <w:sz w:val="22"/>
          <w:szCs w:val="22"/>
        </w:rPr>
        <w:t>2</w:t>
      </w:r>
      <w:r w:rsidR="00D44C72">
        <w:rPr>
          <w:rFonts w:ascii="Arial" w:hAnsi="Arial" w:cs="Arial"/>
          <w:sz w:val="22"/>
          <w:szCs w:val="22"/>
        </w:rPr>
        <w:t>5</w:t>
      </w:r>
      <w:r w:rsidR="00562212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646554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56221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62212">
        <w:rPr>
          <w:rFonts w:ascii="Arial" w:hAnsi="Arial" w:cs="Arial"/>
          <w:sz w:val="22"/>
          <w:szCs w:val="22"/>
        </w:rPr>
        <w:t>čtvrtletí</w:t>
      </w:r>
      <w:r>
        <w:rPr>
          <w:rFonts w:ascii="Arial" w:hAnsi="Arial" w:cs="Arial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BB78B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7030D2">
        <w:rPr>
          <w:rFonts w:ascii="Arial" w:hAnsi="Arial" w:cs="Arial"/>
        </w:rPr>
        <w:t>a úlevy</w:t>
      </w:r>
    </w:p>
    <w:p w:rsidR="00646554" w:rsidRDefault="00646554" w:rsidP="00646554">
      <w:pPr>
        <w:numPr>
          <w:ilvl w:val="0"/>
          <w:numId w:val="26"/>
        </w:numPr>
        <w:suppressAutoHyphens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</w:t>
      </w:r>
      <w:r w:rsidRPr="00646554">
        <w:rPr>
          <w:rFonts w:ascii="Arial" w:hAnsi="Arial" w:cs="Arial"/>
          <w:sz w:val="22"/>
          <w:szCs w:val="22"/>
        </w:rPr>
        <w:t xml:space="preserve"> </w:t>
      </w:r>
      <w:r w:rsidRPr="0033166B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</w:t>
      </w:r>
      <w:r w:rsidR="007030D2">
        <w:rPr>
          <w:rFonts w:ascii="Arial" w:hAnsi="Arial" w:cs="Arial"/>
          <w:sz w:val="22"/>
          <w:szCs w:val="22"/>
        </w:rPr>
        <w:t>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1"/>
      </w:r>
      <w:r w:rsidR="00D46B74">
        <w:rPr>
          <w:rFonts w:ascii="Arial" w:hAnsi="Arial" w:cs="Arial"/>
          <w:sz w:val="22"/>
          <w:szCs w:val="22"/>
        </w:rPr>
        <w:t xml:space="preserve"> </w:t>
      </w:r>
    </w:p>
    <w:p w:rsidR="00646554" w:rsidRDefault="00646554" w:rsidP="00D46B74">
      <w:pPr>
        <w:numPr>
          <w:ilvl w:val="0"/>
          <w:numId w:val="26"/>
        </w:numPr>
        <w:suppressAutoHyphens/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Úleva se poskytuje:</w:t>
      </w:r>
    </w:p>
    <w:p w:rsidR="00646554" w:rsidRDefault="00646554" w:rsidP="007030D2">
      <w:pPr>
        <w:suppressAutoHyphens/>
        <w:spacing w:line="288" w:lineRule="auto"/>
        <w:ind w:left="567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osobám pobývajícím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autocampu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ve výši 50 % za osobu a každý i započatý den pobytu, není-li tento dnem příchodu.</w:t>
      </w:r>
    </w:p>
    <w:p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D46B74" w:rsidRDefault="00D46B74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2B4D0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46B74" w:rsidRDefault="00D46B74" w:rsidP="00007D87">
      <w:pPr>
        <w:pStyle w:val="slalnk"/>
        <w:spacing w:before="480" w:line="312" w:lineRule="auto"/>
        <w:rPr>
          <w:rFonts w:ascii="Arial" w:hAnsi="Arial" w:cs="Arial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Pr="002B4D07" w:rsidRDefault="002246F4" w:rsidP="002B4D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4D07">
        <w:rPr>
          <w:rFonts w:ascii="Arial" w:hAnsi="Arial" w:cs="Arial"/>
          <w:sz w:val="22"/>
          <w:szCs w:val="22"/>
        </w:rPr>
        <w:t>Zrušuje se obecně závazná vyhláška č.</w:t>
      </w:r>
      <w:r w:rsidR="002B4D07" w:rsidRPr="002B4D07">
        <w:rPr>
          <w:rFonts w:ascii="Arial" w:hAnsi="Arial" w:cs="Arial"/>
          <w:sz w:val="22"/>
          <w:szCs w:val="22"/>
        </w:rPr>
        <w:t xml:space="preserve"> 1</w:t>
      </w:r>
      <w:r w:rsidRPr="002B4D07">
        <w:rPr>
          <w:rFonts w:ascii="Arial" w:hAnsi="Arial" w:cs="Arial"/>
          <w:sz w:val="22"/>
          <w:szCs w:val="22"/>
        </w:rPr>
        <w:t>/</w:t>
      </w:r>
      <w:r w:rsidR="002B4D07" w:rsidRPr="002B4D07">
        <w:rPr>
          <w:rFonts w:ascii="Arial" w:hAnsi="Arial" w:cs="Arial"/>
          <w:sz w:val="22"/>
          <w:szCs w:val="22"/>
        </w:rPr>
        <w:t xml:space="preserve">2020 o místním poplatku z pobytu </w:t>
      </w:r>
      <w:r w:rsidRPr="002B4D07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2B451D">
        <w:rPr>
          <w:rFonts w:ascii="Arial" w:hAnsi="Arial" w:cs="Arial"/>
          <w:sz w:val="22"/>
          <w:szCs w:val="22"/>
        </w:rPr>
        <w:t>29</w:t>
      </w:r>
      <w:r w:rsidR="002B4D07" w:rsidRPr="002B4D07">
        <w:rPr>
          <w:rFonts w:ascii="Arial" w:hAnsi="Arial" w:cs="Arial"/>
          <w:sz w:val="22"/>
          <w:szCs w:val="22"/>
        </w:rPr>
        <w:t>.</w:t>
      </w:r>
      <w:r w:rsidR="002B451D">
        <w:rPr>
          <w:rFonts w:ascii="Arial" w:hAnsi="Arial" w:cs="Arial"/>
          <w:sz w:val="22"/>
          <w:szCs w:val="22"/>
        </w:rPr>
        <w:t>6</w:t>
      </w:r>
      <w:r w:rsidR="002B4D07" w:rsidRPr="002B4D07">
        <w:rPr>
          <w:rFonts w:ascii="Arial" w:hAnsi="Arial" w:cs="Arial"/>
          <w:sz w:val="22"/>
          <w:szCs w:val="22"/>
        </w:rPr>
        <w:t>.202</w:t>
      </w:r>
      <w:r w:rsidR="002B451D">
        <w:rPr>
          <w:rFonts w:ascii="Arial" w:hAnsi="Arial" w:cs="Arial"/>
          <w:sz w:val="22"/>
          <w:szCs w:val="22"/>
        </w:rPr>
        <w:t>1</w:t>
      </w:r>
      <w:proofErr w:type="gramEnd"/>
      <w:r w:rsidRPr="002B4D07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2B451D" w:rsidRDefault="002B451D" w:rsidP="002B45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754BAA">
        <w:rPr>
          <w:rFonts w:ascii="Arial" w:hAnsi="Arial" w:cs="Arial"/>
          <w:sz w:val="22"/>
          <w:szCs w:val="22"/>
        </w:rPr>
        <w:t>účinnosti dne 1. 2</w:t>
      </w:r>
      <w:r>
        <w:rPr>
          <w:rFonts w:ascii="Arial" w:hAnsi="Arial" w:cs="Arial"/>
          <w:sz w:val="22"/>
          <w:szCs w:val="22"/>
        </w:rPr>
        <w:t>. 2023</w:t>
      </w:r>
      <w:r w:rsidRPr="002E0EAD">
        <w:rPr>
          <w:rFonts w:ascii="Arial" w:hAnsi="Arial" w:cs="Arial"/>
          <w:sz w:val="22"/>
          <w:szCs w:val="22"/>
        </w:rPr>
        <w:t>.</w:t>
      </w:r>
    </w:p>
    <w:p w:rsidR="002B451D" w:rsidRPr="002E0EAD" w:rsidRDefault="002B451D" w:rsidP="002B451D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2B451D" w:rsidRPr="002E0EAD" w:rsidRDefault="002B451D" w:rsidP="002B451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B451D" w:rsidRPr="002E0EAD" w:rsidRDefault="002B451D" w:rsidP="002B451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2B451D" w:rsidRPr="002E0EAD" w:rsidRDefault="002B451D" w:rsidP="002B45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B451D" w:rsidRPr="002E0EAD" w:rsidRDefault="002B451D" w:rsidP="002B451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Mgr. Jana Kufová </w:t>
      </w:r>
      <w:r>
        <w:rPr>
          <w:rFonts w:ascii="Arial" w:hAnsi="Arial" w:cs="Arial"/>
          <w:sz w:val="22"/>
          <w:szCs w:val="22"/>
        </w:rPr>
        <w:tab/>
        <w:t xml:space="preserve">  Eva Sikorová</w:t>
      </w:r>
    </w:p>
    <w:p w:rsidR="002B451D" w:rsidRPr="002E0EAD" w:rsidRDefault="002B451D" w:rsidP="002B451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starostka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451D" w:rsidRDefault="002B451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451D" w:rsidRDefault="002B451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451D" w:rsidRDefault="002B451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451D" w:rsidRDefault="002B451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451D" w:rsidRDefault="002B451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60" w:rsidRDefault="006A3B60">
      <w:r>
        <w:separator/>
      </w:r>
    </w:p>
  </w:endnote>
  <w:endnote w:type="continuationSeparator" w:id="0">
    <w:p w:rsidR="006A3B60" w:rsidRDefault="006A3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60" w:rsidRDefault="006A3B60">
      <w:r>
        <w:separator/>
      </w:r>
    </w:p>
  </w:footnote>
  <w:footnote w:type="continuationSeparator" w:id="0">
    <w:p w:rsidR="006A3B60" w:rsidRDefault="006A3B6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646554" w:rsidRDefault="00646554" w:rsidP="0064655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3b  odst. 1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lvlText w:val=".%5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outline w:val="0"/>
        <w:shadow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874AFE"/>
    <w:multiLevelType w:val="multilevel"/>
    <w:tmpl w:val="00000005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9C37FE2"/>
    <w:multiLevelType w:val="multilevel"/>
    <w:tmpl w:val="00000005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3"/>
  </w:num>
  <w:num w:numId="9">
    <w:abstractNumId w:val="8"/>
  </w:num>
  <w:num w:numId="10">
    <w:abstractNumId w:val="14"/>
  </w:num>
  <w:num w:numId="11">
    <w:abstractNumId w:val="6"/>
  </w:num>
  <w:num w:numId="12">
    <w:abstractNumId w:val="9"/>
  </w:num>
  <w:num w:numId="13">
    <w:abstractNumId w:val="16"/>
  </w:num>
  <w:num w:numId="14">
    <w:abstractNumId w:val="17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9"/>
  </w:num>
  <w:num w:numId="22">
    <w:abstractNumId w:val="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  <w:num w:numId="26">
    <w:abstractNumId w:val="3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1919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451D"/>
    <w:rsid w:val="002B4D07"/>
    <w:rsid w:val="002B51B3"/>
    <w:rsid w:val="002B7506"/>
    <w:rsid w:val="002C77D4"/>
    <w:rsid w:val="002D2A22"/>
    <w:rsid w:val="002E6CC1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5EDC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2212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050F9"/>
    <w:rsid w:val="00610B4F"/>
    <w:rsid w:val="006203B7"/>
    <w:rsid w:val="00624E84"/>
    <w:rsid w:val="0063422E"/>
    <w:rsid w:val="0063659F"/>
    <w:rsid w:val="00643C55"/>
    <w:rsid w:val="0064529B"/>
    <w:rsid w:val="00646554"/>
    <w:rsid w:val="006523CC"/>
    <w:rsid w:val="00663945"/>
    <w:rsid w:val="00663C6D"/>
    <w:rsid w:val="00684C56"/>
    <w:rsid w:val="00691BE6"/>
    <w:rsid w:val="006A21DD"/>
    <w:rsid w:val="006A3B60"/>
    <w:rsid w:val="006C0C98"/>
    <w:rsid w:val="006C665E"/>
    <w:rsid w:val="006C7F1C"/>
    <w:rsid w:val="006D2398"/>
    <w:rsid w:val="006D5D8E"/>
    <w:rsid w:val="006E461F"/>
    <w:rsid w:val="006F6BCD"/>
    <w:rsid w:val="007030D2"/>
    <w:rsid w:val="00703C49"/>
    <w:rsid w:val="00704AEF"/>
    <w:rsid w:val="00735391"/>
    <w:rsid w:val="0074359F"/>
    <w:rsid w:val="00754BAA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36E8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78BA"/>
    <w:rsid w:val="00BC02FF"/>
    <w:rsid w:val="00BC6EFD"/>
    <w:rsid w:val="00BC7402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4C72"/>
    <w:rsid w:val="00D46B74"/>
    <w:rsid w:val="00D51057"/>
    <w:rsid w:val="00D52FC4"/>
    <w:rsid w:val="00D5315A"/>
    <w:rsid w:val="00D631DA"/>
    <w:rsid w:val="00D63CCB"/>
    <w:rsid w:val="00D645ED"/>
    <w:rsid w:val="00D67409"/>
    <w:rsid w:val="00D85DA0"/>
    <w:rsid w:val="00D957BD"/>
    <w:rsid w:val="00D9652F"/>
    <w:rsid w:val="00DA1A67"/>
    <w:rsid w:val="00DA3A89"/>
    <w:rsid w:val="00DB0802"/>
    <w:rsid w:val="00DC14A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23B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Znakypropoznmkupodarou">
    <w:name w:val="Znaky pro poznámku pod čarou"/>
    <w:rsid w:val="006465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8202-B78C-4856-8C4D-27E7561B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ucto</cp:lastModifiedBy>
  <cp:revision>3</cp:revision>
  <cp:lastPrinted>2019-09-23T09:46:00Z</cp:lastPrinted>
  <dcterms:created xsi:type="dcterms:W3CDTF">2023-01-16T11:53:00Z</dcterms:created>
  <dcterms:modified xsi:type="dcterms:W3CDTF">2023-01-16T11:54:00Z</dcterms:modified>
</cp:coreProperties>
</file>