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Arial" w:hAnsi="Arial" w:cs="Arial"/>
          <w:b/>
          <w:b/>
          <w:bCs/>
          <w:sz w:val="22"/>
          <w:szCs w:val="22"/>
        </w:rPr>
      </w:pPr>
      <w:r>
        <w:rPr>
          <w:rFonts w:cs="Arial" w:ascii="Arial" w:hAnsi="Arial"/>
          <w:b/>
          <w:bCs/>
          <w:sz w:val="22"/>
          <w:szCs w:val="22"/>
        </w:rPr>
        <w:t>Obecně závazná vyhláška</w:t>
      </w:r>
    </w:p>
    <w:p>
      <w:pPr>
        <w:pStyle w:val="Normal"/>
        <w:jc w:val="center"/>
        <w:rPr>
          <w:rFonts w:ascii="Arial" w:hAnsi="Arial" w:cs="Arial"/>
          <w:b/>
          <w:b/>
          <w:bCs/>
          <w:sz w:val="22"/>
          <w:szCs w:val="22"/>
        </w:rPr>
      </w:pPr>
      <w:r>
        <w:rPr>
          <w:rFonts w:cs="Arial" w:ascii="Arial" w:hAnsi="Arial"/>
          <w:b/>
          <w:bCs/>
          <w:sz w:val="22"/>
          <w:szCs w:val="22"/>
        </w:rPr>
        <w:t>obce Bílý Újezd č. 1/2023,</w:t>
      </w:r>
    </w:p>
    <w:p>
      <w:pPr>
        <w:pStyle w:val="Normal"/>
        <w:jc w:val="center"/>
        <w:rPr/>
      </w:pPr>
      <w:r>
        <w:rPr/>
      </w:r>
    </w:p>
    <w:p>
      <w:pPr>
        <w:pStyle w:val="Normal"/>
        <w:jc w:val="center"/>
        <w:rPr>
          <w:rFonts w:ascii="Arial" w:hAnsi="Arial" w:cs="Arial"/>
          <w:b/>
          <w:b/>
          <w:bCs/>
          <w:sz w:val="22"/>
          <w:szCs w:val="22"/>
        </w:rPr>
      </w:pPr>
      <w:r>
        <w:rPr>
          <w:rFonts w:cs="Arial" w:ascii="Arial" w:hAnsi="Arial"/>
          <w:b/>
          <w:bCs/>
          <w:sz w:val="22"/>
          <w:szCs w:val="22"/>
        </w:rPr>
        <w:t>o stanovení místního koeficientu pro výpočet daně z nemovitých věcí</w:t>
      </w:r>
    </w:p>
    <w:p>
      <w:pPr>
        <w:pStyle w:val="Normal"/>
        <w:jc w:val="center"/>
        <w:rPr>
          <w:rFonts w:ascii="Arial" w:hAnsi="Arial" w:cs="Arial"/>
          <w:b/>
          <w:b/>
          <w:bCs/>
          <w:sz w:val="22"/>
          <w:szCs w:val="22"/>
        </w:rPr>
      </w:pPr>
      <w:r>
        <w:rPr>
          <w:rFonts w:cs="Arial" w:ascii="Arial" w:hAnsi="Arial"/>
          <w:b/>
          <w:bCs/>
          <w:sz w:val="22"/>
          <w:szCs w:val="22"/>
        </w:rPr>
      </w:r>
    </w:p>
    <w:p>
      <w:pPr>
        <w:pStyle w:val="BodyTextIndent2"/>
        <w:spacing w:lineRule="auto" w:line="312" w:before="0" w:after="0"/>
        <w:ind w:left="0" w:right="0" w:hanging="0"/>
        <w:jc w:val="both"/>
        <w:rPr>
          <w:rFonts w:ascii="Arial" w:hAnsi="Arial" w:cs="Arial"/>
          <w:sz w:val="22"/>
          <w:szCs w:val="22"/>
        </w:rPr>
      </w:pPr>
      <w:r>
        <w:rPr>
          <w:rFonts w:cs="Arial" w:ascii="Arial" w:hAnsi="Arial"/>
          <w:sz w:val="22"/>
          <w:szCs w:val="22"/>
        </w:rPr>
        <w:t xml:space="preserve">Zastupitelstvo obce Bílý Újezd se na svém zasedání dne 27. 6. 2023 usnesením č.6/2023 usneslo vydat na základě § 12 zákona č. 338/1992 Sb., o dani z nemovitých věcí, ve znění pozdějších předpisů (dále jen „zákon o dani z nemovitých věcí“) a § 84 odst. 2 písm. h) zákona č. 128/2000 Sb., o obcích (obecní zřízení), ve znění pozdějších předpisů, tuto obecně závaznou vyhlášku: </w:t>
      </w:r>
    </w:p>
    <w:p>
      <w:pPr>
        <w:pStyle w:val="Normal"/>
        <w:spacing w:lineRule="auto" w:line="312"/>
        <w:jc w:val="center"/>
        <w:rPr>
          <w:rFonts w:ascii="Arial" w:hAnsi="Arial" w:cs="Arial"/>
          <w:sz w:val="22"/>
          <w:szCs w:val="22"/>
        </w:rPr>
      </w:pPr>
      <w:r>
        <w:rPr>
          <w:rFonts w:cs="Arial" w:ascii="Arial" w:hAnsi="Arial"/>
          <w:sz w:val="22"/>
          <w:szCs w:val="22"/>
        </w:rPr>
      </w:r>
    </w:p>
    <w:p>
      <w:pPr>
        <w:pStyle w:val="Normal"/>
        <w:spacing w:lineRule="auto" w:line="312"/>
        <w:jc w:val="center"/>
        <w:rPr>
          <w:rFonts w:ascii="Arial" w:hAnsi="Arial" w:cs="Arial"/>
          <w:sz w:val="22"/>
          <w:szCs w:val="22"/>
        </w:rPr>
      </w:pPr>
      <w:r>
        <w:rPr>
          <w:rFonts w:cs="Arial" w:ascii="Arial" w:hAnsi="Arial"/>
          <w:sz w:val="22"/>
          <w:szCs w:val="22"/>
        </w:rPr>
        <w:t>Čl. 1</w:t>
      </w:r>
    </w:p>
    <w:p>
      <w:pPr>
        <w:pStyle w:val="Normal"/>
        <w:spacing w:lineRule="auto" w:line="312"/>
        <w:jc w:val="center"/>
        <w:rPr>
          <w:rFonts w:ascii="Arial" w:hAnsi="Arial" w:cs="Arial"/>
          <w:sz w:val="22"/>
          <w:szCs w:val="22"/>
        </w:rPr>
      </w:pPr>
      <w:r>
        <w:rPr>
          <w:rFonts w:cs="Arial" w:ascii="Arial" w:hAnsi="Arial"/>
          <w:sz w:val="22"/>
          <w:szCs w:val="22"/>
        </w:rPr>
        <w:t xml:space="preserve">Místní koeficient </w:t>
      </w:r>
    </w:p>
    <w:p>
      <w:pPr>
        <w:pStyle w:val="Normal"/>
        <w:spacing w:lineRule="auto" w:line="312"/>
        <w:jc w:val="center"/>
        <w:rPr>
          <w:rFonts w:ascii="Arial" w:hAnsi="Arial" w:cs="Arial"/>
          <w:sz w:val="22"/>
          <w:szCs w:val="22"/>
        </w:rPr>
      </w:pPr>
      <w:r>
        <w:rPr>
          <w:rFonts w:cs="Arial" w:ascii="Arial" w:hAnsi="Arial"/>
          <w:sz w:val="22"/>
          <w:szCs w:val="22"/>
        </w:rPr>
      </w:r>
    </w:p>
    <w:p>
      <w:pPr>
        <w:pStyle w:val="Normal"/>
        <w:spacing w:lineRule="auto" w:line="312"/>
        <w:jc w:val="both"/>
        <w:rPr/>
      </w:pPr>
      <w:r>
        <w:rPr>
          <w:rFonts w:cs="Arial" w:ascii="Arial" w:hAnsi="Arial"/>
          <w:sz w:val="22"/>
          <w:szCs w:val="22"/>
        </w:rPr>
        <w:t xml:space="preserve">Na území obce Bílý Újezd v katastrálním území Masty, kód katastrálního území 604739 se u pozemků parcelní čísla st. 164, st. 165, st. 168, st. 169, st. 171, st. 172, st. 173, st. 174, st. 175, 3210, 3211, 3212, 3213, 3214, 3216, 3217, 3218, 3219, 3220, 3221, 3222, 3223, 3225, 3226, 3230, 3231, 3242, 3243, 3244, 3245, 3246, 3247, 3250 v souladu s § 12 zákona č. 338/1992 Sb., o dani z nemovitých věcí, ve znění pozdějších předpisů, stanovuje místní koeficient, kterým se násobí daň poplatníka za jednotlivé druhy pozemků, zdanitelných staveb nebo zdanitelných jednotek, popřípadě jejich souhrny, s výjimkou pozemků uvedených v § 5 odst. 1 zákona o dani z nemovitých věcí, </w:t>
      </w:r>
      <w:r>
        <w:rPr>
          <w:rFonts w:cs="Arial" w:ascii="Arial" w:hAnsi="Arial"/>
          <w:b/>
          <w:sz w:val="22"/>
          <w:szCs w:val="22"/>
        </w:rPr>
        <w:t>ve výši 5.</w:t>
      </w:r>
    </w:p>
    <w:p>
      <w:pPr>
        <w:pStyle w:val="Normal"/>
        <w:spacing w:lineRule="auto" w:line="312"/>
        <w:jc w:val="both"/>
        <w:rPr>
          <w:rFonts w:ascii="Arial" w:hAnsi="Arial" w:cs="Arial"/>
          <w:i/>
          <w:i/>
          <w:color w:val="00B0F0"/>
          <w:sz w:val="22"/>
          <w:szCs w:val="22"/>
        </w:rPr>
      </w:pPr>
      <w:r>
        <w:rPr>
          <w:rFonts w:cs="Arial" w:ascii="Arial" w:hAnsi="Arial"/>
          <w:i/>
          <w:color w:val="00B0F0"/>
          <w:sz w:val="22"/>
          <w:szCs w:val="22"/>
        </w:rPr>
      </w:r>
    </w:p>
    <w:p>
      <w:pPr>
        <w:pStyle w:val="Normal"/>
        <w:spacing w:lineRule="auto" w:line="312"/>
        <w:jc w:val="center"/>
        <w:rPr>
          <w:rFonts w:ascii="Arial" w:hAnsi="Arial" w:cs="Arial"/>
          <w:sz w:val="22"/>
          <w:szCs w:val="22"/>
        </w:rPr>
      </w:pPr>
      <w:r>
        <w:rPr>
          <w:rFonts w:cs="Arial" w:ascii="Arial" w:hAnsi="Arial"/>
          <w:sz w:val="22"/>
          <w:szCs w:val="22"/>
        </w:rPr>
        <w:t>Čl. 2</w:t>
      </w:r>
    </w:p>
    <w:p>
      <w:pPr>
        <w:pStyle w:val="Normal"/>
        <w:spacing w:lineRule="auto" w:line="312"/>
        <w:jc w:val="center"/>
        <w:rPr>
          <w:rFonts w:ascii="Arial" w:hAnsi="Arial" w:cs="Arial"/>
          <w:sz w:val="22"/>
          <w:szCs w:val="22"/>
        </w:rPr>
      </w:pPr>
      <w:r>
        <w:rPr>
          <w:rFonts w:cs="Arial" w:ascii="Arial" w:hAnsi="Arial"/>
          <w:sz w:val="22"/>
          <w:szCs w:val="22"/>
        </w:rPr>
        <w:t>Zrušovací ustanovení</w:t>
      </w:r>
    </w:p>
    <w:p>
      <w:pPr>
        <w:pStyle w:val="Normal"/>
        <w:spacing w:lineRule="auto" w:line="312"/>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rPr>
        <w:t xml:space="preserve">Ruší se obecně závazná vyhláška č. 1/2021 o </w:t>
      </w:r>
      <w:r>
        <w:rPr>
          <w:rFonts w:cs="Arial" w:ascii="Arial" w:hAnsi="Arial"/>
          <w:bCs/>
          <w:sz w:val="22"/>
          <w:szCs w:val="22"/>
        </w:rPr>
        <w:t>stanovení místního koeficientu pro výpočet daně z nemovitých věcí ze dne 7. 9. 2021.</w:t>
      </w:r>
    </w:p>
    <w:p>
      <w:pPr>
        <w:pStyle w:val="Normal"/>
        <w:spacing w:lineRule="auto" w:line="312"/>
        <w:rPr/>
      </w:pPr>
      <w:r>
        <w:rPr/>
      </w:r>
    </w:p>
    <w:p>
      <w:pPr>
        <w:pStyle w:val="Normal"/>
        <w:spacing w:lineRule="auto" w:line="312"/>
        <w:rPr>
          <w:rFonts w:ascii="Arial" w:hAnsi="Arial" w:cs="Arial"/>
          <w:sz w:val="22"/>
          <w:szCs w:val="22"/>
        </w:rPr>
      </w:pPr>
      <w:r>
        <w:rPr>
          <w:rFonts w:cs="Arial" w:ascii="Arial" w:hAnsi="Arial"/>
          <w:sz w:val="22"/>
          <w:szCs w:val="22"/>
        </w:rPr>
      </w:r>
    </w:p>
    <w:p>
      <w:pPr>
        <w:pStyle w:val="Normal"/>
        <w:spacing w:lineRule="auto" w:line="312"/>
        <w:jc w:val="center"/>
        <w:rPr>
          <w:rFonts w:ascii="Arial" w:hAnsi="Arial" w:cs="Arial"/>
          <w:sz w:val="22"/>
          <w:szCs w:val="22"/>
        </w:rPr>
      </w:pPr>
      <w:r>
        <w:rPr>
          <w:rFonts w:cs="Arial" w:ascii="Arial" w:hAnsi="Arial"/>
          <w:sz w:val="22"/>
          <w:szCs w:val="22"/>
        </w:rPr>
        <w:t>Čl. 3</w:t>
      </w:r>
    </w:p>
    <w:p>
      <w:pPr>
        <w:pStyle w:val="Normal"/>
        <w:spacing w:lineRule="auto" w:line="312"/>
        <w:jc w:val="center"/>
        <w:rPr>
          <w:rFonts w:ascii="Arial" w:hAnsi="Arial" w:cs="Arial"/>
          <w:sz w:val="22"/>
          <w:szCs w:val="22"/>
        </w:rPr>
      </w:pPr>
      <w:r>
        <w:rPr>
          <w:rFonts w:cs="Arial" w:ascii="Arial" w:hAnsi="Arial"/>
          <w:sz w:val="22"/>
          <w:szCs w:val="22"/>
        </w:rPr>
        <w:t>Účinnost</w:t>
      </w:r>
    </w:p>
    <w:p>
      <w:pPr>
        <w:pStyle w:val="Normal"/>
        <w:spacing w:lineRule="auto" w:line="312"/>
        <w:rPr>
          <w:rFonts w:ascii="Arial" w:hAnsi="Arial" w:cs="Arial"/>
          <w:sz w:val="22"/>
          <w:szCs w:val="22"/>
        </w:rPr>
      </w:pPr>
      <w:r>
        <w:rPr>
          <w:rFonts w:cs="Arial" w:ascii="Arial" w:hAnsi="Arial"/>
          <w:sz w:val="22"/>
          <w:szCs w:val="22"/>
        </w:rPr>
      </w:r>
    </w:p>
    <w:p>
      <w:pPr>
        <w:pStyle w:val="Normal"/>
        <w:spacing w:lineRule="auto" w:line="312"/>
        <w:jc w:val="both"/>
        <w:rPr>
          <w:rFonts w:ascii="Arial" w:hAnsi="Arial" w:cs="Arial"/>
          <w:sz w:val="22"/>
          <w:szCs w:val="22"/>
        </w:rPr>
      </w:pPr>
      <w:r>
        <w:rPr>
          <w:rFonts w:cs="Arial" w:ascii="Arial" w:hAnsi="Arial"/>
          <w:sz w:val="22"/>
          <w:szCs w:val="22"/>
        </w:rPr>
        <w:t>Tato obecně závazná vyhláška nabývá účinnosti dnem 1. 1. 2024.</w:t>
      </w:r>
    </w:p>
    <w:p>
      <w:pPr>
        <w:pStyle w:val="Normal"/>
        <w:spacing w:lineRule="auto" w:line="312"/>
        <w:rPr>
          <w:rFonts w:ascii="Arial" w:hAnsi="Arial" w:cs="Arial"/>
          <w:sz w:val="22"/>
          <w:szCs w:val="22"/>
        </w:rPr>
      </w:pPr>
      <w:r>
        <w:rPr>
          <w:rFonts w:cs="Arial" w:ascii="Arial" w:hAnsi="Arial"/>
          <w:sz w:val="22"/>
          <w:szCs w:val="22"/>
        </w:rPr>
      </w:r>
    </w:p>
    <w:p>
      <w:pPr>
        <w:pStyle w:val="Normal"/>
        <w:tabs>
          <w:tab w:val="clear" w:pos="708"/>
          <w:tab w:val="left" w:pos="1620" w:leader="none"/>
          <w:tab w:val="left" w:pos="7740" w:leader="none"/>
        </w:tabs>
        <w:autoSpaceDE w:val="false"/>
        <w:spacing w:lineRule="auto" w:line="312"/>
        <w:rPr>
          <w:rFonts w:ascii="Arial" w:hAnsi="Arial" w:cs="Arial"/>
          <w:sz w:val="22"/>
          <w:szCs w:val="22"/>
        </w:rPr>
      </w:pPr>
      <w:r>
        <w:rPr>
          <w:rFonts w:cs="Arial" w:ascii="Arial" w:hAnsi="Arial"/>
          <w:sz w:val="22"/>
          <w:szCs w:val="22"/>
        </w:rPr>
      </w:r>
    </w:p>
    <w:p>
      <w:pPr>
        <w:pStyle w:val="Normal"/>
        <w:tabs>
          <w:tab w:val="clear" w:pos="708"/>
          <w:tab w:val="left" w:pos="1321" w:leader="none"/>
          <w:tab w:val="left" w:pos="7380" w:leader="none"/>
        </w:tabs>
        <w:autoSpaceDE w:val="false"/>
        <w:spacing w:lineRule="auto" w:line="312"/>
        <w:jc w:val="both"/>
        <w:rPr>
          <w:rFonts w:ascii="Arial" w:hAnsi="Arial" w:cs="Arial"/>
          <w:sz w:val="22"/>
          <w:szCs w:val="22"/>
        </w:rPr>
      </w:pPr>
      <w:r>
        <w:rPr>
          <w:rFonts w:cs="Arial" w:ascii="Arial" w:hAnsi="Arial"/>
          <w:sz w:val="22"/>
          <w:szCs w:val="22"/>
        </w:rPr>
        <w:tab/>
        <w:t xml:space="preserve"> …………….</w:t>
        <w:tab/>
        <w:t>………………</w:t>
      </w:r>
    </w:p>
    <w:p>
      <w:pPr>
        <w:pStyle w:val="Normal"/>
        <w:tabs>
          <w:tab w:val="clear" w:pos="708"/>
          <w:tab w:val="left" w:pos="1196" w:leader="none"/>
          <w:tab w:val="left" w:pos="7348" w:leader="none"/>
        </w:tabs>
        <w:autoSpaceDE w:val="false"/>
        <w:spacing w:lineRule="auto" w:line="312"/>
        <w:jc w:val="both"/>
        <w:rPr>
          <w:rFonts w:ascii="Arial" w:hAnsi="Arial" w:cs="Arial"/>
          <w:sz w:val="22"/>
          <w:szCs w:val="22"/>
        </w:rPr>
      </w:pPr>
      <w:r>
        <w:rPr>
          <w:rFonts w:cs="Arial" w:ascii="Arial" w:hAnsi="Arial"/>
          <w:sz w:val="22"/>
          <w:szCs w:val="22"/>
        </w:rPr>
        <w:tab/>
        <w:t>Jindřich Kubíček                                                                       Mgr. Michal Friček</w:t>
      </w:r>
    </w:p>
    <w:p>
      <w:pPr>
        <w:pStyle w:val="Normal"/>
        <w:tabs>
          <w:tab w:val="clear" w:pos="708"/>
          <w:tab w:val="left" w:pos="1361" w:leader="none"/>
          <w:tab w:val="left" w:pos="7740" w:leader="none"/>
        </w:tabs>
        <w:autoSpaceDE w:val="false"/>
        <w:spacing w:lineRule="auto" w:line="312"/>
        <w:jc w:val="both"/>
        <w:rPr>
          <w:rFonts w:ascii="Arial" w:hAnsi="Arial" w:cs="Arial"/>
          <w:sz w:val="22"/>
          <w:szCs w:val="22"/>
        </w:rPr>
      </w:pPr>
      <w:r>
        <w:rPr>
          <w:rFonts w:cs="Arial" w:ascii="Arial" w:hAnsi="Arial"/>
          <w:sz w:val="22"/>
          <w:szCs w:val="22"/>
        </w:rPr>
        <w:tab/>
        <w:t>místostarosta</w:t>
        <w:tab/>
        <w:t>starosta</w:t>
      </w:r>
    </w:p>
    <w:p>
      <w:pPr>
        <w:pStyle w:val="Normal"/>
        <w:tabs>
          <w:tab w:val="clear" w:pos="708"/>
          <w:tab w:val="left" w:pos="1361" w:leader="none"/>
          <w:tab w:val="left" w:pos="7740" w:leader="none"/>
        </w:tabs>
        <w:autoSpaceDE w:val="false"/>
        <w:spacing w:lineRule="auto" w:line="312"/>
        <w:jc w:val="both"/>
        <w:rPr>
          <w:rFonts w:ascii="Arial" w:hAnsi="Arial" w:cs="Arial"/>
          <w:sz w:val="22"/>
          <w:szCs w:val="22"/>
        </w:rPr>
      </w:pPr>
      <w:r>
        <w:rPr>
          <w:rFonts w:cs="Arial" w:ascii="Arial" w:hAnsi="Arial"/>
          <w:sz w:val="22"/>
          <w:szCs w:val="22"/>
        </w:rPr>
      </w:r>
    </w:p>
    <w:p>
      <w:pPr>
        <w:pStyle w:val="Normal"/>
        <w:tabs>
          <w:tab w:val="clear" w:pos="708"/>
          <w:tab w:val="left" w:pos="1361" w:leader="none"/>
          <w:tab w:val="left" w:pos="7740" w:leader="none"/>
        </w:tabs>
        <w:autoSpaceDE w:val="false"/>
        <w:spacing w:lineRule="auto" w:line="312"/>
        <w:jc w:val="both"/>
        <w:rPr>
          <w:rFonts w:ascii="Arial" w:hAnsi="Arial" w:cs="Arial"/>
          <w:sz w:val="22"/>
          <w:szCs w:val="22"/>
        </w:rPr>
      </w:pPr>
      <w:r>
        <w:rPr>
          <w:rFonts w:cs="Arial" w:ascii="Arial" w:hAnsi="Arial"/>
          <w:sz w:val="22"/>
          <w:szCs w:val="22"/>
        </w:rPr>
        <w:t>Vyvěšeno na úřední desce dne:</w:t>
      </w:r>
    </w:p>
    <w:p>
      <w:pPr>
        <w:pStyle w:val="Normal"/>
        <w:spacing w:lineRule="auto" w:line="312"/>
        <w:rPr>
          <w:rFonts w:ascii="Arial" w:hAnsi="Arial" w:cs="Arial"/>
          <w:sz w:val="22"/>
          <w:szCs w:val="22"/>
        </w:rPr>
      </w:pPr>
      <w:r>
        <w:rPr>
          <w:rFonts w:cs="Arial" w:ascii="Arial" w:hAnsi="Arial"/>
          <w:sz w:val="22"/>
          <w:szCs w:val="22"/>
        </w:rPr>
        <w:t>Sejmuto z úřední desky dne:</w:t>
      </w:r>
    </w:p>
    <w:p>
      <w:pPr>
        <w:pStyle w:val="Normal"/>
        <w:spacing w:lineRule="auto" w:line="312"/>
        <w:rPr>
          <w:rFonts w:ascii="Arial" w:hAnsi="Arial" w:cs="Arial"/>
          <w:sz w:val="22"/>
          <w:szCs w:val="22"/>
        </w:rPr>
      </w:pPr>
      <w:r>
        <w:rPr>
          <w:rFonts w:cs="Arial" w:ascii="Arial" w:hAnsi="Arial"/>
          <w:sz w:val="22"/>
          <w:szCs w:val="22"/>
        </w:rPr>
        <w:t>Zasláno správci daně dne:</w:t>
      </w:r>
    </w:p>
    <w:sectPr>
      <w:headerReference w:type="default" r:id="rId2"/>
      <w:footerReference w:type="default" r:id="rId3"/>
      <w:type w:val="nextPage"/>
      <w:pgSz w:w="11906" w:h="16838"/>
      <w:pgMar w:left="1418" w:right="1418" w:header="709" w:top="1701" w:footer="709"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Narrow">
    <w:charset w:val="ee"/>
    <w:family w:val="swiss"/>
    <w:pitch w:val="variable"/>
  </w:font>
  <w:font w:name="Arial">
    <w:charset w:val="ee"/>
    <w:family w:val="swiss"/>
    <w:pitch w:val="variable"/>
  </w:font>
  <w:font w:name="Courier New">
    <w:charset w:val="ee"/>
    <w:family w:val="modern"/>
    <w:pitch w:val="default"/>
  </w:font>
  <w:font w:name="Wingdings">
    <w:charset w:val="02"/>
    <w:family w:val="auto"/>
    <w:pitch w:val="variable"/>
  </w:font>
  <w:font w:name="Segoe UI">
    <w:charset w:val="ee"/>
    <w:family w:val="swiss"/>
    <w:pitch w:val="variable"/>
  </w:font>
  <w:font w:name="Cambria">
    <w:charset w:val="ee"/>
    <w:family w:val="roman"/>
    <w:pitch w:val="variable"/>
  </w:font>
  <w:font w:name="Calibri">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Nadpis2"/>
      <w:numFmt w:val="none"/>
      <w:suff w:val="nothing"/>
      <w:lvlText w:val=""/>
      <w:lvlJc w:val="left"/>
      <w:pPr>
        <w:ind w:left="0" w:hanging="0"/>
      </w:pPr>
      <w:r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cs-CZ" w:eastAsia="zh-CN" w:bidi="hi-IN"/>
      </w:rPr>
    </w:rPrDefault>
    <w:pPrDefault>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cs-CZ" w:eastAsia="zh-CN" w:bidi="ar-SA"/>
    </w:rPr>
  </w:style>
  <w:style w:type="paragraph" w:styleId="Nadpis2">
    <w:name w:val="Heading 2"/>
    <w:basedOn w:val="Normal"/>
    <w:next w:val="Normal"/>
    <w:qFormat/>
    <w:pPr>
      <w:keepNext w:val="true"/>
      <w:numPr>
        <w:ilvl w:val="1"/>
        <w:numId w:val="1"/>
      </w:numPr>
      <w:jc w:val="both"/>
      <w:outlineLvl w:val="1"/>
    </w:pPr>
    <w:rPr>
      <w:u w:val="single"/>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Standardnpsmoodstavce">
    <w:name w:val="Standardní písmo odstavce"/>
    <w:qFormat/>
    <w:rPr/>
  </w:style>
  <w:style w:type="character" w:styleId="WW8Num2z1">
    <w:name w:val="WW8Num2z1"/>
    <w:qFormat/>
    <w:rPr/>
  </w:style>
  <w:style w:type="character" w:styleId="WW8Num3z0">
    <w:name w:val="WW8Num3z0"/>
    <w:qFormat/>
    <w:rPr>
      <w:b w:val="false"/>
      <w:i w:val="false"/>
      <w:strike w:val="false"/>
      <w:dstrike w:val="false"/>
      <w:shadow w:val="false"/>
      <w:position w:val="0"/>
      <w:sz w:val="24"/>
      <w:sz w:val="24"/>
      <w:vertAlign w:val="baseline"/>
    </w:rPr>
  </w:style>
  <w:style w:type="character" w:styleId="WW8Num3z1">
    <w:name w:val="WW8Num3z1"/>
    <w:qFormat/>
    <w:rPr/>
  </w:style>
  <w:style w:type="character" w:styleId="WW8Num4z0">
    <w:name w:val="WW8Num4z0"/>
    <w:qFormat/>
    <w:rPr>
      <w:b w:val="false"/>
      <w:i w:val="false"/>
      <w:strike w:val="false"/>
      <w:dstrike w:val="false"/>
      <w:shadow w:val="false"/>
      <w:position w:val="0"/>
      <w:sz w:val="24"/>
      <w:sz w:val="24"/>
      <w:vertAlign w:val="baseline"/>
    </w:rPr>
  </w:style>
  <w:style w:type="character" w:styleId="WW8Num4z1">
    <w:name w:val="WW8Num4z1"/>
    <w:qFormat/>
    <w:rPr/>
  </w:style>
  <w:style w:type="character" w:styleId="WW8Num5z0">
    <w:name w:val="WW8Num5z0"/>
    <w:qFormat/>
    <w:rPr>
      <w:b w:val="false"/>
      <w:i w:val="false"/>
      <w:strike w:val="false"/>
      <w:dstrike w:val="false"/>
      <w:shadow w:val="false"/>
      <w:position w:val="0"/>
      <w:sz w:val="24"/>
      <w:sz w:val="24"/>
      <w:vertAlign w:val="baseline"/>
    </w:rPr>
  </w:style>
  <w:style w:type="character" w:styleId="WW8Num5z1">
    <w:name w:val="WW8Num5z1"/>
    <w:qFormat/>
    <w:rPr/>
  </w:style>
  <w:style w:type="character" w:styleId="WW8Num6z0">
    <w:name w:val="WW8Num6z0"/>
    <w:qFormat/>
    <w:rPr>
      <w:rFonts w:ascii="Arial Narrow" w:hAnsi="Arial Narrow" w:eastAsia="Times New Roman" w:cs="Times New Roman"/>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b w:val="false"/>
      <w:i w:val="false"/>
      <w:strike w:val="false"/>
      <w:dstrike w:val="false"/>
      <w:shadow w:val="false"/>
      <w:position w:val="0"/>
      <w:sz w:val="24"/>
      <w:sz w:val="24"/>
      <w:vertAlign w:val="baseline"/>
    </w:rPr>
  </w:style>
  <w:style w:type="character" w:styleId="WW8Num8z1">
    <w:name w:val="WW8Num8z1"/>
    <w:qFormat/>
    <w:rPr/>
  </w:style>
  <w:style w:type="character" w:styleId="WW8Num9z0">
    <w:name w:val="WW8Num9z0"/>
    <w:qFormat/>
    <w:rPr>
      <w:rFonts w:ascii="Times New Roman" w:hAnsi="Times New Roman" w:eastAsia="Times New Roman" w:cs="Times New Roman"/>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2z0">
    <w:name w:val="WW8Num12z0"/>
    <w:qFormat/>
    <w:rPr>
      <w:b w:val="false"/>
      <w:i w:val="false"/>
      <w:strike w:val="false"/>
      <w:dstrike w:val="false"/>
      <w:shadow w:val="false"/>
      <w:position w:val="0"/>
      <w:sz w:val="24"/>
      <w:sz w:val="24"/>
      <w:vertAlign w:val="baseline"/>
    </w:rPr>
  </w:style>
  <w:style w:type="character" w:styleId="WW8Num12z1">
    <w:name w:val="WW8Num12z1"/>
    <w:qFormat/>
    <w:rPr/>
  </w:style>
  <w:style w:type="character" w:styleId="WW8Num13z0">
    <w:name w:val="WW8Num13z0"/>
    <w:qFormat/>
    <w:rPr>
      <w:rFonts w:cs="Times New Roman"/>
    </w:rPr>
  </w:style>
  <w:style w:type="character" w:styleId="WW8Num13z1">
    <w:name w:val="WW8Num13z1"/>
    <w:qFormat/>
    <w:rPr>
      <w:rFonts w:cs="Times New Roman"/>
    </w:rPr>
  </w:style>
  <w:style w:type="character" w:styleId="WW8Num14z0">
    <w:name w:val="WW8Num14z0"/>
    <w:qFormat/>
    <w:rPr>
      <w:b w:val="false"/>
      <w:i w:val="false"/>
      <w:strike w:val="false"/>
      <w:dstrike w:val="false"/>
      <w:shadow w:val="false"/>
      <w:position w:val="0"/>
      <w:sz w:val="24"/>
      <w:sz w:val="24"/>
      <w:vertAlign w:val="baseline"/>
    </w:rPr>
  </w:style>
  <w:style w:type="character" w:styleId="WW8Num14z1">
    <w:name w:val="WW8Num14z1"/>
    <w:qFormat/>
    <w:rPr/>
  </w:style>
  <w:style w:type="character" w:styleId="WW8Num15z0">
    <w:name w:val="WW8Num15z0"/>
    <w:qFormat/>
    <w:rPr>
      <w:b w:val="false"/>
      <w:i w:val="false"/>
      <w:strike w:val="false"/>
      <w:dstrike w:val="false"/>
      <w:shadow w:val="false"/>
      <w:position w:val="0"/>
      <w:sz w:val="24"/>
      <w:sz w:val="24"/>
      <w:vertAlign w:val="baseline"/>
    </w:rPr>
  </w:style>
  <w:style w:type="character" w:styleId="WW8Num15z1">
    <w:name w:val="WW8Num15z1"/>
    <w:qFormat/>
    <w:rPr/>
  </w:style>
  <w:style w:type="character" w:styleId="WW8Num16z0">
    <w:name w:val="WW8Num16z0"/>
    <w:qFormat/>
    <w:rPr>
      <w:b w:val="false"/>
      <w:i w:val="false"/>
      <w:strike w:val="false"/>
      <w:dstrike w:val="false"/>
      <w:shadow w:val="false"/>
      <w:position w:val="0"/>
      <w:sz w:val="24"/>
      <w:sz w:val="24"/>
      <w:vertAlign w:val="baseline"/>
    </w:rPr>
  </w:style>
  <w:style w:type="character" w:styleId="WW8Num16z1">
    <w:name w:val="WW8Num16z1"/>
    <w:qFormat/>
    <w:rPr/>
  </w:style>
  <w:style w:type="character" w:styleId="WW8Num17z0">
    <w:name w:val="WW8Num17z0"/>
    <w:qFormat/>
    <w:rPr>
      <w:b w:val="false"/>
      <w:i w:val="false"/>
      <w:strike w:val="false"/>
      <w:dstrike w:val="false"/>
      <w:shadow w:val="false"/>
      <w:position w:val="0"/>
      <w:sz w:val="24"/>
      <w:sz w:val="24"/>
      <w:vertAlign w:val="baseline"/>
    </w:rPr>
  </w:style>
  <w:style w:type="character" w:styleId="WW8Num17z1">
    <w:name w:val="WW8Num17z1"/>
    <w:qFormat/>
    <w:rPr/>
  </w:style>
  <w:style w:type="character" w:styleId="WW8Num18z0">
    <w:name w:val="WW8Num18z0"/>
    <w:qFormat/>
    <w:rPr>
      <w:rFonts w:cs="Times New Roman"/>
    </w:rPr>
  </w:style>
  <w:style w:type="character" w:styleId="WW8Num18z1">
    <w:name w:val="WW8Num18z1"/>
    <w:qFormat/>
    <w:rPr>
      <w:rFonts w:cs="Times New Roman"/>
    </w:rPr>
  </w:style>
  <w:style w:type="character" w:styleId="WW8Num19z0">
    <w:name w:val="WW8Num19z0"/>
    <w:qFormat/>
    <w:rPr>
      <w:b w:val="false"/>
      <w:i w:val="false"/>
      <w:strike w:val="false"/>
      <w:dstrike w:val="false"/>
      <w:shadow w:val="false"/>
      <w:position w:val="0"/>
      <w:sz w:val="24"/>
      <w:sz w:val="24"/>
      <w:vertAlign w:val="baseline"/>
    </w:rPr>
  </w:style>
  <w:style w:type="character" w:styleId="WW8Num19z1">
    <w:name w:val="WW8Num19z1"/>
    <w:qFormat/>
    <w:rPr/>
  </w:style>
  <w:style w:type="character" w:styleId="WW8Num20z0">
    <w:name w:val="WW8Num20z0"/>
    <w:qFormat/>
    <w:rPr>
      <w:rFonts w:cs="Times New Roman"/>
    </w:rPr>
  </w:style>
  <w:style w:type="character" w:styleId="WW8Num20z1">
    <w:name w:val="WW8Num20z1"/>
    <w:qFormat/>
    <w:rPr>
      <w:rFonts w:cs="Times New Roman"/>
    </w:rPr>
  </w:style>
  <w:style w:type="character" w:styleId="WW8Num21z0">
    <w:name w:val="WW8Num21z0"/>
    <w:qFormat/>
    <w:rPr>
      <w:b w:val="false"/>
      <w:i w:val="false"/>
      <w:strike w:val="false"/>
      <w:dstrike w:val="false"/>
      <w:shadow w:val="false"/>
      <w:position w:val="0"/>
      <w:sz w:val="24"/>
      <w:sz w:val="24"/>
      <w:vertAlign w:val="baseline"/>
    </w:rPr>
  </w:style>
  <w:style w:type="character" w:styleId="WW8Num21z1">
    <w:name w:val="WW8Num21z1"/>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Arial" w:hAnsi="Arial" w:cs="Arial"/>
      <w:b w:val="false"/>
      <w:i w:val="false"/>
      <w:strike w:val="false"/>
      <w:dstrike w:val="false"/>
      <w:outline w:val="false"/>
      <w:shadow w:val="false"/>
      <w:position w:val="0"/>
      <w:sz w:val="22"/>
      <w:sz w:val="22"/>
      <w:szCs w:val="22"/>
      <w:u w:val="none"/>
      <w:vertAlign w:val="baseline"/>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b w:val="false"/>
      <w:i w:val="false"/>
      <w:strike w:val="false"/>
      <w:dstrike w:val="false"/>
      <w:shadow w:val="false"/>
      <w:position w:val="0"/>
      <w:sz w:val="24"/>
      <w:sz w:val="24"/>
      <w:vertAlign w:val="baseline"/>
    </w:rPr>
  </w:style>
  <w:style w:type="character" w:styleId="WW8Num25z1">
    <w:name w:val="WW8Num25z1"/>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Arial" w:hAnsi="Arial" w:cs="Times New Roman"/>
      <w:b w:val="false"/>
      <w:i w:val="false"/>
      <w:sz w:val="22"/>
      <w:szCs w:val="22"/>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b w:val="false"/>
      <w:i w:val="false"/>
      <w:strike w:val="false"/>
      <w:dstrike w:val="false"/>
      <w:shadow w:val="false"/>
      <w:position w:val="0"/>
      <w:sz w:val="24"/>
      <w:sz w:val="24"/>
      <w:vertAlign w:val="baseline"/>
    </w:rPr>
  </w:style>
  <w:style w:type="character" w:styleId="WW8Num29z1">
    <w:name w:val="WW8Num29z1"/>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b w:val="false"/>
      <w:i w:val="false"/>
      <w:strike w:val="false"/>
      <w:dstrike w:val="false"/>
      <w:shadow w:val="false"/>
      <w:position w:val="0"/>
      <w:sz w:val="24"/>
      <w:sz w:val="24"/>
      <w:vertAlign w:val="baseline"/>
    </w:rPr>
  </w:style>
  <w:style w:type="character" w:styleId="WW8Num31z1">
    <w:name w:val="WW8Num31z1"/>
    <w:qFormat/>
    <w:rPr/>
  </w:style>
  <w:style w:type="character" w:styleId="WW8Num32z0">
    <w:name w:val="WW8Num32z0"/>
    <w:qFormat/>
    <w:rPr>
      <w:rFonts w:cs="Times New Roman"/>
    </w:rPr>
  </w:style>
  <w:style w:type="character" w:styleId="WW8Num32z1">
    <w:name w:val="WW8Num32z1"/>
    <w:qFormat/>
    <w:rPr>
      <w:rFonts w:cs="Times New Roman"/>
    </w:rPr>
  </w:style>
  <w:style w:type="character" w:styleId="WW8Num33z0">
    <w:name w:val="WW8Num33z0"/>
    <w:qFormat/>
    <w:rPr>
      <w:b w:val="false"/>
      <w:i w:val="false"/>
      <w:strike w:val="false"/>
      <w:dstrike w:val="false"/>
      <w:shadow w:val="false"/>
      <w:position w:val="0"/>
      <w:sz w:val="24"/>
      <w:sz w:val="24"/>
      <w:vertAlign w:val="baseline"/>
    </w:rPr>
  </w:style>
  <w:style w:type="character" w:styleId="WW8Num33z1">
    <w:name w:val="WW8Num33z1"/>
    <w:qFormat/>
    <w:rPr/>
  </w:style>
  <w:style w:type="character" w:styleId="Standardnpsmoodstavce1">
    <w:name w:val="Standardní písmo odstavce1"/>
    <w:qFormat/>
    <w:rPr/>
  </w:style>
  <w:style w:type="character" w:styleId="Nadpis2Char">
    <w:name w:val="Nadpis 2 Char"/>
    <w:qFormat/>
    <w:rPr>
      <w:sz w:val="24"/>
      <w:szCs w:val="24"/>
      <w:u w:val="single"/>
      <w:lang w:val="cs-CZ" w:bidi="ar-SA"/>
    </w:rPr>
  </w:style>
  <w:style w:type="character" w:styleId="ZkladntextodsazenChar">
    <w:name w:val="Základní text odsazený Char"/>
    <w:qFormat/>
    <w:rPr>
      <w:sz w:val="24"/>
      <w:szCs w:val="24"/>
      <w:lang w:val="cs-CZ" w:bidi="ar-SA"/>
    </w:rPr>
  </w:style>
  <w:style w:type="character" w:styleId="ZhlavChar">
    <w:name w:val="Záhlaví Char"/>
    <w:qFormat/>
    <w:rPr>
      <w:sz w:val="24"/>
      <w:szCs w:val="24"/>
      <w:lang w:val="cs-CZ" w:bidi="ar-SA"/>
    </w:rPr>
  </w:style>
  <w:style w:type="character" w:styleId="ZkladntextChar">
    <w:name w:val="Základní text Char"/>
    <w:qFormat/>
    <w:rPr>
      <w:sz w:val="24"/>
      <w:szCs w:val="24"/>
      <w:lang w:val="cs-CZ" w:bidi="ar-SA"/>
    </w:rPr>
  </w:style>
  <w:style w:type="character" w:styleId="TextpoznpodarouChar">
    <w:name w:val="Text pozn. pod čarou Char"/>
    <w:qFormat/>
    <w:rPr>
      <w:lang w:val="cs-CZ" w:eastAsia="cs-CZ" w:bidi="ar-SA"/>
    </w:rPr>
  </w:style>
  <w:style w:type="character" w:styleId="Znakypropoznmkupodarou">
    <w:name w:val="Znaky pro poznámku pod čarou"/>
    <w:qFormat/>
    <w:rPr>
      <w:vertAlign w:val="superscript"/>
    </w:rPr>
  </w:style>
  <w:style w:type="character" w:styleId="ZpatChar">
    <w:name w:val="Zápatí Char"/>
    <w:qFormat/>
    <w:rPr>
      <w:sz w:val="24"/>
      <w:szCs w:val="24"/>
    </w:rPr>
  </w:style>
  <w:style w:type="character" w:styleId="TextbublinyChar">
    <w:name w:val="Text bubliny Char"/>
    <w:qFormat/>
    <w:rPr>
      <w:rFonts w:ascii="Segoe UI" w:hAnsi="Segoe UI" w:cs="Segoe UI"/>
      <w:sz w:val="18"/>
      <w:szCs w:val="18"/>
      <w:lang w:eastAsia="zh-CN"/>
    </w:rPr>
  </w:style>
  <w:style w:type="paragraph" w:styleId="Nadpis">
    <w:name w:val="Nadpis"/>
    <w:basedOn w:val="Normal"/>
    <w:next w:val="Tlotextu"/>
    <w:qFormat/>
    <w:pPr>
      <w:spacing w:before="240" w:after="60"/>
      <w:jc w:val="center"/>
    </w:pPr>
    <w:rPr>
      <w:rFonts w:ascii="Arial" w:hAnsi="Arial" w:cs="Arial"/>
      <w:b/>
      <w:bCs/>
      <w:kern w:val="2"/>
      <w:sz w:val="32"/>
      <w:szCs w:val="32"/>
    </w:rPr>
  </w:style>
  <w:style w:type="paragraph" w:styleId="Tlotextu">
    <w:name w:val="Body Text"/>
    <w:basedOn w:val="Normal"/>
    <w:pPr>
      <w:spacing w:before="0" w:after="12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Titulek">
    <w:name w:val="Titulek"/>
    <w:basedOn w:val="Normal"/>
    <w:qFormat/>
    <w:pPr>
      <w:suppressLineNumbers/>
      <w:spacing w:before="120" w:after="120"/>
    </w:pPr>
    <w:rPr>
      <w:rFonts w:cs="Arial"/>
      <w:i/>
      <w:iCs/>
      <w:sz w:val="24"/>
      <w:szCs w:val="24"/>
    </w:rPr>
  </w:style>
  <w:style w:type="paragraph" w:styleId="Odsazentlatextu">
    <w:name w:val="Body Text Indent"/>
    <w:basedOn w:val="Normal"/>
    <w:pPr>
      <w:ind w:left="708" w:right="0" w:firstLine="357"/>
      <w:jc w:val="both"/>
    </w:pPr>
    <w:rPr/>
  </w:style>
  <w:style w:type="paragraph" w:styleId="Zhlav">
    <w:name w:val="Header"/>
    <w:basedOn w:val="Normal"/>
    <w:pPr>
      <w:tabs>
        <w:tab w:val="clear" w:pos="708"/>
        <w:tab w:val="center" w:pos="4536" w:leader="none"/>
        <w:tab w:val="right" w:pos="9072" w:leader="none"/>
      </w:tabs>
    </w:pPr>
    <w:rPr/>
  </w:style>
  <w:style w:type="paragraph" w:styleId="Poznmkapodarou">
    <w:name w:val="Footnote Text"/>
    <w:basedOn w:val="Normal"/>
    <w:pPr/>
    <w:rPr>
      <w:sz w:val="20"/>
      <w:szCs w:val="20"/>
      <w:lang w:val="cs-CZ" w:eastAsia="cs-CZ"/>
    </w:rPr>
  </w:style>
  <w:style w:type="paragraph" w:styleId="Nzevzkona">
    <w:name w:val="název zákona"/>
    <w:basedOn w:val="Nadpis"/>
    <w:qFormat/>
    <w:pPr/>
    <w:rPr>
      <w:rFonts w:ascii="Cambria" w:hAnsi="Cambria" w:cs="Cambria"/>
    </w:rPr>
  </w:style>
  <w:style w:type="paragraph" w:styleId="Slalnk">
    <w:name w:val="Čísla článků"/>
    <w:basedOn w:val="Normal"/>
    <w:qFormat/>
    <w:pPr>
      <w:keepNext w:val="true"/>
      <w:keepLines/>
      <w:spacing w:before="360" w:after="60"/>
      <w:jc w:val="center"/>
    </w:pPr>
    <w:rPr>
      <w:b/>
      <w:bCs/>
      <w:szCs w:val="20"/>
    </w:rPr>
  </w:style>
  <w:style w:type="paragraph" w:styleId="Nzvylnk">
    <w:name w:val="Názvy článků"/>
    <w:basedOn w:val="Slalnk"/>
    <w:qFormat/>
    <w:pPr>
      <w:spacing w:before="60" w:after="160"/>
    </w:pPr>
    <w:rPr/>
  </w:style>
  <w:style w:type="paragraph" w:styleId="Oddstavcevlncch">
    <w:name w:val="Oddstavce v článcích"/>
    <w:basedOn w:val="Normal"/>
    <w:next w:val="Normal"/>
    <w:qFormat/>
    <w:pPr>
      <w:keepLines/>
      <w:numPr>
        <w:ilvl w:val="0"/>
        <w:numId w:val="2"/>
      </w:numPr>
      <w:spacing w:before="0" w:after="60"/>
      <w:jc w:val="both"/>
    </w:pPr>
    <w:rPr/>
  </w:style>
  <w:style w:type="paragraph" w:styleId="Zpat">
    <w:name w:val="Footer"/>
    <w:basedOn w:val="Normal"/>
    <w:pPr>
      <w:tabs>
        <w:tab w:val="clear" w:pos="708"/>
        <w:tab w:val="center" w:pos="4536" w:leader="none"/>
        <w:tab w:val="right" w:pos="9072" w:leader="none"/>
      </w:tabs>
    </w:pPr>
    <w:rPr/>
  </w:style>
  <w:style w:type="paragraph" w:styleId="ListParagraph">
    <w:name w:val="List Paragraph"/>
    <w:basedOn w:val="Normal"/>
    <w:qFormat/>
    <w:pPr>
      <w:spacing w:lineRule="auto" w:line="276" w:before="0" w:after="200"/>
      <w:ind w:left="720" w:right="0" w:hanging="0"/>
      <w:contextualSpacing/>
    </w:pPr>
    <w:rPr>
      <w:rFonts w:ascii="Calibri" w:hAnsi="Calibri" w:cs="Calibri"/>
      <w:sz w:val="22"/>
      <w:szCs w:val="22"/>
    </w:rPr>
  </w:style>
  <w:style w:type="paragraph" w:styleId="Odstavecseseznamem1">
    <w:name w:val="Odstavec se seznamem1"/>
    <w:basedOn w:val="Normal"/>
    <w:qFormat/>
    <w:pPr>
      <w:spacing w:lineRule="auto" w:line="276" w:before="0" w:after="200"/>
      <w:ind w:left="720" w:right="0" w:hanging="0"/>
      <w:contextualSpacing/>
    </w:pPr>
    <w:rPr>
      <w:rFonts w:ascii="Calibri" w:hAnsi="Calibri" w:cs="Calibri"/>
      <w:sz w:val="22"/>
      <w:szCs w:val="22"/>
    </w:rPr>
  </w:style>
  <w:style w:type="paragraph" w:styleId="BodyTextIndent2">
    <w:name w:val="Body Text Indent 2"/>
    <w:basedOn w:val="Normal"/>
    <w:qFormat/>
    <w:pPr>
      <w:widowControl w:val="false"/>
      <w:spacing w:lineRule="auto" w:line="480" w:before="0" w:after="120"/>
      <w:ind w:left="283" w:right="0" w:hanging="0"/>
    </w:pPr>
    <w:rPr>
      <w:lang w:bidi="cs-CZ"/>
    </w:rPr>
  </w:style>
  <w:style w:type="paragraph" w:styleId="Textbubliny">
    <w:name w:val="Text bubliny"/>
    <w:basedOn w:val="Normal"/>
    <w:qFormat/>
    <w:pPr/>
    <w:rPr>
      <w:rFonts w:ascii="Segoe UI" w:hAnsi="Segoe UI" w:cs="Segoe UI"/>
      <w:sz w:val="18"/>
      <w:szCs w:val="18"/>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19</TotalTime>
  <Application>LibreOffice/6.1.3.2$Windows_X86_64 LibreOffice_project/86daf60bf00efa86ad547e59e09d6bb77c699acb</Application>
  <Pages>1</Pages>
  <Words>264</Words>
  <Characters>1329</Characters>
  <CharactersWithSpaces>1650</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2021-09-01T08:47:00Z</dcterms:created>
  <dc:creator>Mgr. Lukáš Toman</dc:creator>
  <dc:description/>
  <dc:language>cs-CZ</dc:language>
  <cp:lastModifiedBy>spravce</cp:lastModifiedBy>
  <cp:lastPrinted>2023-06-27T14:42:00Z</cp:lastPrinted>
  <dcterms:modified xsi:type="dcterms:W3CDTF">2023-06-29T10:26:00Z</dcterms:modified>
  <cp:revision>7</cp:revision>
  <dc:subject/>
  <dc:title>Metodický materiál</dc:title>
</cp:coreProperties>
</file>