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"/>
        <w:rPr>
          <w:bCs/>
          <w:sz w:val="26"/>
          <w:szCs w:val="26"/>
          <w:shd w:fill="FFFF00" w:val="clear"/>
        </w:rPr>
      </w:pPr>
      <w:r>
        <w:rPr>
          <w:bCs/>
          <w:sz w:val="26"/>
          <w:szCs w:val="26"/>
          <w:shd w:fill="FFFF00" w:val="clear"/>
        </w:rPr>
      </w:r>
    </w:p>
    <w:p>
      <w:pPr>
        <w:pStyle w:val="Zhlavuser"/>
        <w:tabs>
          <w:tab w:val="clear" w:pos="4536"/>
          <w:tab w:val="clear" w:pos="9072"/>
        </w:tabs>
        <w:rPr>
          <w:bCs/>
          <w:shd w:fill="FFFF00" w:val="clear"/>
        </w:rPr>
      </w:pPr>
      <w:r>
        <w:rPr>
          <w:bCs/>
          <w:shd w:fill="FFFF00" w:val="clear"/>
        </w:rPr>
      </w:r>
    </w:p>
    <w:p>
      <w:pPr>
        <w:pStyle w:val="Zkladntext"/>
        <w:spacing w:before="0"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Určice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Zastupitelstvo obce Určice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Určice,</w:t>
      </w:r>
    </w:p>
    <w:p>
      <w:pPr>
        <w:pStyle w:val="Zkladntextodsazen"/>
        <w:spacing w:before="0" w:after="60"/>
        <w:ind w:hang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Zkladntextodsazen"/>
        <w:spacing w:before="0" w:after="60"/>
        <w:ind w:hang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vydává požární řád obce</w:t>
      </w:r>
    </w:p>
    <w:p>
      <w:pPr>
        <w:pStyle w:val="Zkladntextodsazen"/>
        <w:ind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ind w:hanging="0"/>
        <w:rPr/>
      </w:pPr>
      <w:r>
        <w:rPr>
          <w:rStyle w:val="Standardnpsmoodstavce"/>
          <w:rFonts w:cs="Arial" w:ascii="Arial" w:hAnsi="Arial"/>
          <w:sz w:val="22"/>
          <w:szCs w:val="22"/>
        </w:rPr>
        <w:t xml:space="preserve">Zastupitelstvo obce </w:t>
      </w:r>
      <w:r>
        <w:rPr>
          <w:rStyle w:val="Standardnpsmoodstavce"/>
          <w:rFonts w:cs="Arial" w:ascii="Arial" w:hAnsi="Arial"/>
          <w:color w:val="000000"/>
          <w:sz w:val="22"/>
          <w:szCs w:val="22"/>
        </w:rPr>
        <w:t>Určice</w:t>
      </w:r>
      <w:r>
        <w:rPr>
          <w:rStyle w:val="Standardnpsmoodstavce"/>
          <w:rFonts w:cs="Arial" w:ascii="Arial" w:hAnsi="Arial"/>
          <w:color w:val="0070C0"/>
          <w:sz w:val="22"/>
          <w:szCs w:val="22"/>
        </w:rPr>
        <w:t xml:space="preserve"> </w:t>
      </w:r>
      <w:r>
        <w:rPr>
          <w:rStyle w:val="Standardnpsmoodstavce"/>
          <w:rFonts w:cs="Arial" w:ascii="Arial" w:hAnsi="Arial"/>
          <w:sz w:val="22"/>
          <w:szCs w:val="22"/>
        </w:rPr>
        <w:t xml:space="preserve">se na svém </w:t>
      </w:r>
      <w:r>
        <w:rPr>
          <w:rStyle w:val="Standardnpsmoodstavce"/>
          <w:rFonts w:cs="Arial" w:ascii="Arial" w:hAnsi="Arial"/>
          <w:sz w:val="22"/>
          <w:szCs w:val="22"/>
        </w:rPr>
        <w:t xml:space="preserve">16. </w:t>
      </w:r>
      <w:r>
        <w:rPr>
          <w:rStyle w:val="Standardnpsmoodstavce"/>
          <w:rFonts w:cs="Arial" w:ascii="Arial" w:hAnsi="Arial"/>
          <w:sz w:val="22"/>
          <w:szCs w:val="22"/>
          <w:shd w:fill="FFFFFF" w:val="clear"/>
        </w:rPr>
        <w:t xml:space="preserve">zasedání konaném dne </w:t>
      </w:r>
      <w:r>
        <w:rPr>
          <w:rStyle w:val="Standardnpsmoodstavce"/>
          <w:rFonts w:cs="Arial" w:ascii="Arial" w:hAnsi="Arial"/>
          <w:sz w:val="22"/>
          <w:szCs w:val="22"/>
          <w:shd w:fill="FFFFFF" w:val="clear"/>
        </w:rPr>
        <w:t>10.3.2025</w:t>
      </w:r>
      <w:r>
        <w:rPr>
          <w:rStyle w:val="Standardnpsmoodstavce"/>
          <w:rFonts w:cs="Arial" w:ascii="Arial" w:hAnsi="Arial"/>
          <w:sz w:val="22"/>
          <w:szCs w:val="22"/>
          <w:shd w:fill="FFFFFF" w:val="clear"/>
        </w:rPr>
        <w:t xml:space="preserve">, usnesením č. </w:t>
      </w:r>
      <w:r>
        <w:rPr>
          <w:rStyle w:val="Standardnpsmoodstavce"/>
          <w:rFonts w:cs="Arial" w:ascii="Arial" w:hAnsi="Arial"/>
          <w:sz w:val="22"/>
          <w:szCs w:val="22"/>
        </w:rPr>
        <w:t>16/147</w:t>
      </w:r>
      <w:r>
        <w:rPr>
          <w:rStyle w:val="Standardnpsmoodstavce"/>
          <w:rFonts w:cs="Arial" w:ascii="Arial" w:hAnsi="Arial"/>
          <w:sz w:val="22"/>
          <w:szCs w:val="22"/>
        </w:rPr>
        <w:t xml:space="preserve">  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  <w:br/>
        <w:t>Úvodní ustanovení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ind w:hanging="0"/>
        <w:rPr/>
      </w:pPr>
      <w:r>
        <w:rPr>
          <w:rStyle w:val="Standardnpsmoodstavce"/>
          <w:rFonts w:cs="Arial" w:ascii="Arial" w:hAnsi="Arial"/>
          <w:sz w:val="22"/>
          <w:szCs w:val="22"/>
        </w:rPr>
        <w:t>(1)</w:t>
        <w:tab/>
        <w:t>Tato vyhláška</w:t>
      </w:r>
      <w:r>
        <w:rPr>
          <w:rStyle w:val="Standardnpsmoodstavce"/>
          <w:rFonts w:cs="Arial" w:ascii="Arial" w:hAnsi="Arial"/>
          <w:color w:val="auto"/>
          <w:sz w:val="22"/>
          <w:szCs w:val="22"/>
        </w:rPr>
        <w:t xml:space="preserve"> </w:t>
      </w:r>
      <w:r>
        <w:rPr>
          <w:rStyle w:val="Standardnpsmoodstavce"/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tabs>
          <w:tab w:val="clear" w:pos="708"/>
        </w:tabs>
        <w:spacing w:before="0" w:after="0"/>
        <w:ind w:hanging="705" w:start="705"/>
        <w:rPr/>
      </w:pPr>
      <w:r>
        <w:rPr>
          <w:rStyle w:val="Standardnpsmoodstavce"/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2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Určice (dále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2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Odstavecseseznamem"/>
        <w:numPr>
          <w:ilvl w:val="0"/>
          <w:numId w:val="3"/>
        </w:numPr>
        <w:autoSpaceDE w:val="false"/>
        <w:spacing w:lineRule="auto" w:line="240" w:before="0" w:after="0"/>
        <w:ind w:hanging="851" w:start="1418"/>
        <w:contextualSpacing w:val="false"/>
        <w:jc w:val="both"/>
        <w:rPr/>
      </w:pPr>
      <w:r>
        <w:rPr>
          <w:rStyle w:val="Standardnpsmoodstavce"/>
          <w:rFonts w:cs="Arial" w:ascii="Arial" w:hAnsi="Arial"/>
          <w:lang w:val="cs-CZ"/>
        </w:rPr>
        <w:t>zastupitelstvo obce -</w:t>
      </w:r>
      <w:r>
        <w:rPr>
          <w:rStyle w:val="Standardnpsmoodstavce"/>
          <w:rFonts w:cs="Arial" w:ascii="Arial" w:hAnsi="Arial"/>
          <w:color w:val="FF0000"/>
          <w:lang w:val="cs-CZ"/>
        </w:rPr>
        <w:t xml:space="preserve"> </w:t>
      </w:r>
      <w:r>
        <w:rPr>
          <w:rStyle w:val="Standardnpsmoodstavce"/>
          <w:rFonts w:eastAsia="Times New Roman" w:cs="Arial" w:ascii="Arial" w:hAnsi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>
      <w:pPr>
        <w:pStyle w:val="Odstavecseseznamem"/>
        <w:numPr>
          <w:ilvl w:val="0"/>
          <w:numId w:val="3"/>
        </w:numPr>
        <w:autoSpaceDE w:val="false"/>
        <w:spacing w:lineRule="auto" w:line="240" w:before="0" w:after="0"/>
        <w:ind w:hanging="851" w:start="1418"/>
        <w:contextualSpacing w:val="false"/>
        <w:jc w:val="both"/>
        <w:rPr/>
      </w:pPr>
      <w:r>
        <w:rPr>
          <w:rStyle w:val="Standardnpsmoodstavce"/>
          <w:rFonts w:cs="Arial" w:ascii="Arial" w:hAnsi="Arial"/>
          <w:lang w:val="cs-CZ"/>
        </w:rPr>
        <w:t>starosta -</w:t>
      </w:r>
      <w:r>
        <w:rPr>
          <w:rStyle w:val="Standardnpsmoodstavce"/>
          <w:rFonts w:cs="Arial" w:ascii="Arial" w:hAnsi="Arial"/>
          <w:color w:val="FF0000"/>
          <w:lang w:val="cs-CZ"/>
        </w:rPr>
        <w:t xml:space="preserve"> </w:t>
      </w:r>
      <w:r>
        <w:rPr>
          <w:rStyle w:val="Standardnpsmoodstavce"/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Normln"/>
        <w:rPr/>
      </w:pPr>
      <w:r>
        <w:rPr/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ln"/>
        <w:rPr/>
      </w:pPr>
      <w:r>
        <w:rPr/>
      </w:r>
    </w:p>
    <w:p>
      <w:pPr>
        <w:pStyle w:val="Normln"/>
        <w:jc w:val="both"/>
        <w:rPr/>
      </w:pPr>
      <w:r>
        <w:rPr>
          <w:rStyle w:val="Standardnpsmoodstavce"/>
          <w:rFonts w:cs="Arial" w:ascii="Arial" w:hAnsi="Arial"/>
          <w:color w:val="00000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</w:t>
      </w:r>
    </w:p>
    <w:p>
      <w:pPr>
        <w:pStyle w:val="Normln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činnostem či objektům.</w:t>
      </w:r>
    </w:p>
    <w:p>
      <w:pPr>
        <w:pStyle w:val="Normln"/>
        <w:tabs>
          <w:tab w:val="clear" w:pos="708"/>
        </w:tabs>
        <w:ind w:start="1068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cs="Arial" w:ascii="Arial" w:hAnsi="Arial"/>
          <w:iCs/>
          <w:color w:val="FF0000"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4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nepřetržitě zabezpečeno:</w:t>
      </w:r>
    </w:p>
    <w:p>
      <w:pPr>
        <w:pStyle w:val="Normlnweb"/>
        <w:tabs>
          <w:tab w:val="clear" w:pos="708"/>
        </w:tabs>
        <w:spacing w:before="0" w:after="0"/>
        <w:ind w:hanging="0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5"/>
        </w:numPr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cestou Krajského operačního a informačního střediska HZS Olomouckého kraje (dále jen KOPIS) na tísňových linkách 150 a 112 nebo</w:t>
      </w:r>
    </w:p>
    <w:p>
      <w:pPr>
        <w:pStyle w:val="Normlnweb"/>
        <w:numPr>
          <w:ilvl w:val="0"/>
          <w:numId w:val="5"/>
        </w:numPr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ohlašovnou požáru uvedenou v čl. 7.</w:t>
      </w:r>
    </w:p>
    <w:p>
      <w:pPr>
        <w:pStyle w:val="Normlnweb"/>
        <w:spacing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4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>
      <w:pPr>
        <w:pStyle w:val="Normlnweb"/>
        <w:spacing w:before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5</w:t>
        <w:br/>
        <w:t>Kategorie jednotky sboru dobrovolných hasičů obce, její početní stav a vybavení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6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obce, jejíž kategorie, početní stav a vybavení jsou uvedeny v příloze č. 2 vyhlášky. 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6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Členové JSDH obce se při vyhlášení požárního poplachu dostaví ve stanoveném čase do hasičské stanice JSDH obce na adrese Určice 409, 79804 Určice, anebo na jiné místo, stanovené velitelem JSDH.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/>
      </w:pPr>
      <w:r>
        <w:rPr>
          <w:rStyle w:val="Standardnpsmoodstavce"/>
          <w:rFonts w:cs="Arial" w:ascii="Arial" w:hAnsi="Arial"/>
          <w:b w:val="false"/>
          <w:bCs w:val="false"/>
          <w:i/>
          <w:iCs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7"/>
        </w:numPr>
        <w:tabs>
          <w:tab w:val="clear" w:pos="708"/>
        </w:tabs>
        <w:spacing w:before="0" w:after="0"/>
        <w:ind w:hanging="567" w:start="567"/>
        <w:rPr/>
      </w:pPr>
      <w:r>
        <w:rPr>
          <w:rStyle w:val="Standardnpsmoodstavce"/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FootnoteReference"/>
          <w:rStyle w:val="FootnoteReference"/>
          <w:rFonts w:cs="Arial" w:ascii="Arial" w:hAnsi="Arial"/>
          <w:sz w:val="22"/>
          <w:szCs w:val="22"/>
        </w:rPr>
        <w:footnoteReference w:id="2"/>
      </w:r>
      <w:r>
        <w:rPr>
          <w:rStyle w:val="Standardnpsmoodstavce"/>
          <w:rFonts w:cs="Arial" w:ascii="Arial" w:hAnsi="Arial"/>
          <w:sz w:val="22"/>
          <w:szCs w:val="22"/>
        </w:rPr>
        <w:t xml:space="preserve">. </w:t>
      </w:r>
    </w:p>
    <w:p>
      <w:pPr>
        <w:pStyle w:val="Normlnweb"/>
        <w:tabs>
          <w:tab w:val="clear" w:pos="708"/>
        </w:tabs>
        <w:spacing w:before="0" w:after="0"/>
        <w:ind w:hanging="0" w:start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7"/>
        </w:numPr>
        <w:tabs>
          <w:tab w:val="clear" w:pos="708"/>
        </w:tabs>
        <w:spacing w:before="0" w:after="0"/>
        <w:ind w:hanging="567" w:start="567"/>
        <w:rPr/>
      </w:pPr>
      <w:r>
        <w:rPr>
          <w:rStyle w:val="Standardnpsmoodstavce"/>
          <w:rFonts w:cs="Arial" w:ascii="Arial" w:hAnsi="Arial"/>
          <w:sz w:val="22"/>
          <w:szCs w:val="22"/>
        </w:rPr>
        <w:t>Zdroje vody pro hašení požárů jsou stanoveny v nařízení kraje</w:t>
      </w:r>
      <w:r>
        <w:rPr>
          <w:rStyle w:val="FootnoteReference"/>
          <w:rStyle w:val="FootnoteReference"/>
          <w:rFonts w:cs="Arial" w:ascii="Arial" w:hAnsi="Arial"/>
          <w:sz w:val="22"/>
          <w:szCs w:val="22"/>
        </w:rPr>
        <w:footnoteReference w:id="3"/>
      </w:r>
      <w:r>
        <w:rPr>
          <w:rStyle w:val="Standardnpsmoodstavce"/>
          <w:rFonts w:cs="Arial" w:ascii="Arial" w:hAnsi="Arial"/>
          <w:sz w:val="22"/>
          <w:szCs w:val="22"/>
        </w:rPr>
        <w:t>. Zdroje vody pro hašení požárů na území obce jsou uvedeny v příloze č. 3 vyhlášky.</w:t>
      </w:r>
    </w:p>
    <w:p>
      <w:pPr>
        <w:pStyle w:val="Normlnweb"/>
        <w:spacing w:before="0" w:after="0"/>
        <w:ind w:hanging="0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lnweb"/>
        <w:numPr>
          <w:ilvl w:val="0"/>
          <w:numId w:val="8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Vlastníci nebo uživatelé zdrojů vody, které stanovila obec (čl. 6 odst. 2), jsou povinni oznámit obci:</w:t>
      </w:r>
    </w:p>
    <w:p>
      <w:pPr>
        <w:pStyle w:val="Normlnweb"/>
        <w:numPr>
          <w:ilvl w:val="0"/>
          <w:numId w:val="9"/>
        </w:numPr>
        <w:tabs>
          <w:tab w:val="clear" w:pos="708"/>
        </w:tabs>
        <w:spacing w:before="0" w:after="0"/>
        <w:ind w:hanging="851" w:start="141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>
      <w:pPr>
        <w:pStyle w:val="Normlnweb"/>
        <w:numPr>
          <w:ilvl w:val="0"/>
          <w:numId w:val="9"/>
        </w:numPr>
        <w:tabs>
          <w:tab w:val="clear" w:pos="708"/>
        </w:tabs>
        <w:spacing w:before="0" w:after="0"/>
        <w:ind w:hanging="851" w:start="141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neprodleně vznik mimořádné události na vodním zdroji, která by znemožnila jeho využití k čerpání vody pro hašení požárů.</w:t>
      </w:r>
    </w:p>
    <w:p>
      <w:pPr>
        <w:pStyle w:val="Normlnweb"/>
        <w:spacing w:before="0" w:after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web"/>
        <w:spacing w:before="0" w:after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web"/>
        <w:spacing w:before="0" w:after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7</w:t>
        <w:br/>
        <w:t>Ohlašovna požárů, odkud lze hlásit požár, a způsob jejího označení</w:t>
      </w:r>
    </w:p>
    <w:p>
      <w:pPr>
        <w:pStyle w:val="Normln"/>
        <w:rPr/>
      </w:pPr>
      <w:r>
        <w:rPr/>
      </w:r>
    </w:p>
    <w:p>
      <w:pPr>
        <w:pStyle w:val="Normln"/>
        <w:tabs>
          <w:tab w:val="clear" w:pos="708"/>
        </w:tabs>
        <w:ind w:star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zřídila následující ohlašovnu požárů, která je trvale označena tabulkou „Ohlašovna požárů”: budova obecního úřadu na adrese Určice 81, Určice 798 04.</w:t>
      </w:r>
    </w:p>
    <w:p>
      <w:pPr>
        <w:pStyle w:val="Normln"/>
        <w:tabs>
          <w:tab w:val="clear" w:pos="708"/>
        </w:tabs>
        <w:ind w:start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8</w:t>
        <w:br/>
        <w:t>Způsob vyhlášení požárního poplachu v obci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lnweb"/>
        <w:numPr>
          <w:ilvl w:val="0"/>
          <w:numId w:val="10"/>
        </w:numPr>
        <w:tabs>
          <w:tab w:val="clear" w:pos="708"/>
        </w:tabs>
        <w:spacing w:before="0" w:after="0"/>
        <w:ind w:hanging="851" w:start="141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>
      <w:pPr>
        <w:pStyle w:val="Normln"/>
        <w:numPr>
          <w:ilvl w:val="0"/>
          <w:numId w:val="10"/>
        </w:numPr>
        <w:tabs>
          <w:tab w:val="clear" w:pos="708"/>
        </w:tabs>
        <w:ind w:hanging="851" w:start="1418"/>
        <w:jc w:val="both"/>
        <w:rPr/>
      </w:pPr>
      <w:r>
        <w:rPr>
          <w:rStyle w:val="Standardnpsmoodstavce"/>
          <w:rFonts w:cs="Arial" w:ascii="Arial" w:hAnsi="Arial"/>
          <w:sz w:val="22"/>
          <w:szCs w:val="22"/>
        </w:rPr>
        <w:t>signálem „POŽÁRNÍ POPLACH”, vyhlašovaným obecním rozhlasem, který je propojen s HZS Olomouckého kraje.</w:t>
      </w:r>
    </w:p>
    <w:p>
      <w:pPr>
        <w:pStyle w:val="Normln"/>
        <w:tabs>
          <w:tab w:val="clear" w:pos="708"/>
        </w:tabs>
        <w:ind w:start="1418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9</w:t>
      </w:r>
    </w:p>
    <w:p>
      <w:pPr>
        <w:pStyle w:val="nzevzkona"/>
        <w:spacing w:before="0" w:after="0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Seznam sil a prostředků jednotek požární ochrany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ind w:hanging="0"/>
        <w:rPr/>
      </w:pPr>
      <w:r>
        <w:rPr>
          <w:rStyle w:val="Standardnpsmoodstavce"/>
          <w:rFonts w:cs="Arial" w:ascii="Arial" w:hAnsi="Arial"/>
          <w:sz w:val="22"/>
          <w:szCs w:val="22"/>
        </w:rPr>
        <w:t>Seznam sil a prostředků jednotek požární ochrany podle výpisu z požárního poplachového plánu Olomouckého</w:t>
      </w:r>
      <w:r>
        <w:rPr>
          <w:rStyle w:val="Standardnpsmoodstavce"/>
          <w:rFonts w:cs="Arial" w:ascii="Arial" w:hAnsi="Arial"/>
          <w:color w:val="FF0000"/>
          <w:sz w:val="22"/>
          <w:szCs w:val="22"/>
        </w:rPr>
        <w:t xml:space="preserve"> </w:t>
      </w:r>
      <w:r>
        <w:rPr>
          <w:rStyle w:val="Standardnpsmoodstavce"/>
          <w:rFonts w:cs="Arial" w:ascii="Arial" w:hAnsi="Arial"/>
          <w:sz w:val="22"/>
          <w:szCs w:val="22"/>
        </w:rPr>
        <w:t xml:space="preserve">kraje je uveden v příloze </w:t>
      </w:r>
      <w:r>
        <w:rPr>
          <w:rStyle w:val="Standardnpsmoodstavce"/>
          <w:rFonts w:cs="Arial" w:ascii="Arial" w:hAnsi="Arial"/>
          <w:color w:val="auto"/>
          <w:sz w:val="22"/>
          <w:szCs w:val="22"/>
        </w:rPr>
        <w:t>č. 1 vyhlášky.</w:t>
      </w:r>
    </w:p>
    <w:p>
      <w:pPr>
        <w:pStyle w:val="Zkladntext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10</w:t>
      </w:r>
    </w:p>
    <w:p>
      <w:pPr>
        <w:pStyle w:val="Zkladntext"/>
        <w:spacing w:before="0" w:after="0"/>
        <w:jc w:val="center"/>
        <w:rPr>
          <w:rFonts w:ascii="Arial" w:hAnsi="Arial" w:cs="Arial"/>
          <w:bCs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iCs/>
          <w:sz w:val="22"/>
          <w:szCs w:val="22"/>
        </w:rPr>
        <w:t>Zrušovací ustanovení</w:t>
      </w:r>
    </w:p>
    <w:p>
      <w:pPr>
        <w:pStyle w:val="Zkladntext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hanging="0" w:start="0"/>
        <w:rPr/>
      </w:pPr>
      <w:r>
        <w:rPr>
          <w:rStyle w:val="Standardnpsmoodstavce"/>
          <w:rFonts w:cs="Arial" w:ascii="Arial" w:hAnsi="Arial"/>
          <w:sz w:val="22"/>
          <w:szCs w:val="22"/>
        </w:rPr>
        <w:t>Touto vyhláškou se ruší obecně závazná vyhláška č. 1/2002, Požární řád obce, ze dne 27.9.2002.</w:t>
      </w:r>
    </w:p>
    <w:p>
      <w:pPr>
        <w:pStyle w:val="Seznamoslovan"/>
        <w:spacing w:before="0" w:after="0"/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11</w:t>
      </w:r>
    </w:p>
    <w:p>
      <w:pPr>
        <w:pStyle w:val="Normln"/>
        <w:jc w:val="center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Účinnost</w:t>
      </w:r>
    </w:p>
    <w:p>
      <w:pPr>
        <w:pStyle w:val="Normln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ln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ln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..............................................</w:t>
        <w:tab/>
        <w:tab/>
        <w:tab/>
        <w:tab/>
        <w:tab/>
        <w:t>...................................</w:t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Ing. Zuzana Nakládalová v.r.</w:t>
        <w:tab/>
        <w:tab/>
        <w:tab/>
        <w:t xml:space="preserve">                                Petr Kouřil v.r.</w:t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</w:t>
      </w: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  <w:t>Příloha č. 1 k obecně závazné vyhlášce, kterou se vydává požární řád</w:t>
      </w:r>
    </w:p>
    <w:p>
      <w:pPr>
        <w:pStyle w:val="Nadpis7user"/>
        <w:tabs>
          <w:tab w:val="clear" w:pos="708"/>
          <w:tab w:val="left" w:pos="0" w:leader="none"/>
        </w:tabs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7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Seznam sil a prostředků jednotek požární ochrany</w:t>
      </w:r>
    </w:p>
    <w:p>
      <w:pPr>
        <w:pStyle w:val="Nadpis7user"/>
        <w:tabs>
          <w:tab w:val="clear" w:pos="708"/>
          <w:tab w:val="left" w:pos="0" w:leader="none"/>
        </w:tabs>
        <w:ind w:hanging="0" w:start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z požárního poplachového plánu Olomouckého kraje</w:t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11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lnweb"/>
        <w:tabs>
          <w:tab w:val="clear" w:pos="708"/>
        </w:tabs>
        <w:spacing w:before="0" w:after="0"/>
        <w:ind w:hanging="0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11"/>
        </w:numPr>
        <w:tabs>
          <w:tab w:val="clear" w:pos="708"/>
        </w:tabs>
        <w:spacing w:before="0" w:after="0"/>
        <w:ind w:hanging="567" w:start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973" w:type="dxa"/>
        <w:jc w:val="center"/>
        <w:tblInd w:w="0" w:type="dxa"/>
        <w:tblLayout w:type="fixed"/>
        <w:tblCellMar>
          <w:top w:w="30" w:type="dxa"/>
          <w:start w:w="30" w:type="dxa"/>
          <w:bottom w:w="30" w:type="dxa"/>
          <w:end w:w="30" w:type="dxa"/>
        </w:tblCellMar>
      </w:tblPr>
      <w:tblGrid>
        <w:gridCol w:w="1653"/>
        <w:gridCol w:w="1843"/>
        <w:gridCol w:w="1843"/>
        <w:gridCol w:w="1843"/>
        <w:gridCol w:w="1791"/>
      </w:tblGrid>
      <w:tr>
        <w:trPr/>
        <w:tc>
          <w:tcPr>
            <w:tcW w:w="8973" w:type="dxa"/>
            <w:gridSpan w:val="5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>
        <w:trPr/>
        <w:tc>
          <w:tcPr>
            <w:tcW w:w="165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>
        <w:trPr/>
        <w:tc>
          <w:tcPr>
            <w:tcW w:w="165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HZS Olomouckého kraje – HS Prostějov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JSDH Určice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JSDH Brodek u Prostějova</w:t>
            </w:r>
          </w:p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9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JSDH  Prostějov-Vrahovice</w:t>
            </w:r>
          </w:p>
        </w:tc>
      </w:tr>
      <w:tr>
        <w:trPr/>
        <w:tc>
          <w:tcPr>
            <w:tcW w:w="165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III</w:t>
            </w:r>
          </w:p>
        </w:tc>
        <w:tc>
          <w:tcPr>
            <w:tcW w:w="184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</w:t>
            </w:r>
          </w:p>
        </w:tc>
        <w:tc>
          <w:tcPr>
            <w:tcW w:w="179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</w:t>
            </w:r>
          </w:p>
        </w:tc>
      </w:tr>
    </w:tbl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Pozn.:</w:t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HZS – hasičský záchranný sbor,</w:t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JPO – jednotka požární ochrany (příloha k zákonu o požární ochraně),</w:t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JSDH – jednotka sboru dobrovolných hasičů,</w:t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HS – hasičská stanice,</w:t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star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/>
      </w:pPr>
      <w:r>
        <w:rPr>
          <w:rStyle w:val="Standardnpsmoodstavce"/>
          <w:rFonts w:cs="Arial" w:ascii="Arial" w:hAnsi="Arial"/>
          <w:b/>
          <w:bCs/>
          <w:sz w:val="22"/>
          <w:szCs w:val="22"/>
        </w:rPr>
        <w:t xml:space="preserve">Příloha č. 2 </w:t>
      </w:r>
      <w:r>
        <w:rPr>
          <w:rStyle w:val="Standardnpsmoodstavce"/>
          <w:rFonts w:cs="Arial" w:ascii="Arial" w:hAnsi="Arial"/>
          <w:b/>
          <w:bCs/>
          <w:iCs/>
          <w:sz w:val="22"/>
          <w:szCs w:val="22"/>
        </w:rPr>
        <w:t>k obecně závazné vyhlášce, kterou se vydává požární řád</w:t>
      </w:r>
    </w:p>
    <w:p>
      <w:pPr>
        <w:pStyle w:val="Hlava"/>
        <w:spacing w:before="0" w:after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</w:t>
      </w:r>
    </w:p>
    <w:p>
      <w:pPr>
        <w:pStyle w:val="Hlava"/>
        <w:spacing w:before="0" w:after="0"/>
        <w:jc w:val="star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/>
      </w:pPr>
      <w:r>
        <w:rPr>
          <w:rStyle w:val="Standardnpsmoodstavce"/>
          <w:rFonts w:cs="Arial" w:ascii="Arial" w:hAnsi="Arial"/>
          <w:b/>
          <w:bCs/>
          <w:sz w:val="22"/>
          <w:szCs w:val="22"/>
          <w:u w:val="single"/>
        </w:rPr>
        <w:t>Požární technika a věcné prostředky požární ochrany JSDH obce Určice</w:t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tbl>
      <w:tblPr>
        <w:tblW w:w="8973" w:type="dxa"/>
        <w:jc w:val="start"/>
        <w:tblInd w:w="179" w:type="dxa"/>
        <w:tblLayout w:type="fixed"/>
        <w:tblCellMar>
          <w:top w:w="30" w:type="dxa"/>
          <w:start w:w="30" w:type="dxa"/>
          <w:bottom w:w="30" w:type="dxa"/>
          <w:end w:w="30" w:type="dxa"/>
        </w:tblCellMar>
      </w:tblPr>
      <w:tblGrid>
        <w:gridCol w:w="1841"/>
        <w:gridCol w:w="2410"/>
        <w:gridCol w:w="3977"/>
        <w:gridCol w:w="745"/>
      </w:tblGrid>
      <w:tr>
        <w:trPr/>
        <w:tc>
          <w:tcPr>
            <w:tcW w:w="184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>
        <w:trPr/>
        <w:tc>
          <w:tcPr>
            <w:tcW w:w="184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color w:val="000000"/>
                <w:sz w:val="22"/>
                <w:szCs w:val="22"/>
              </w:rPr>
              <w:t>JSDH Určice</w:t>
            </w:r>
          </w:p>
        </w:tc>
        <w:tc>
          <w:tcPr>
            <w:tcW w:w="241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sz w:val="22"/>
                <w:szCs w:val="22"/>
              </w:rPr>
              <w:t xml:space="preserve">1x CAS 20 SCANIA </w:t>
            </w:r>
          </w:p>
        </w:tc>
        <w:tc>
          <w:tcPr>
            <w:tcW w:w="74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184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DA  L1Z FORD</w:t>
            </w:r>
          </w:p>
        </w:tc>
        <w:tc>
          <w:tcPr>
            <w:tcW w:w="74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184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745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ind w:hanging="0"/>
        <w:jc w:val="star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Pozn.:</w:t>
      </w:r>
    </w:p>
    <w:p>
      <w:pPr>
        <w:pStyle w:val="Normlnweb"/>
        <w:spacing w:before="0" w:after="0"/>
        <w:ind w:hanging="0"/>
        <w:jc w:val="star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CAS – cisternová automobilová stříkačka,</w:t>
      </w:r>
    </w:p>
    <w:p>
      <w:pPr>
        <w:pStyle w:val="Normlnweb"/>
        <w:spacing w:before="0" w:after="0"/>
        <w:ind w:hanging="0"/>
        <w:jc w:val="star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DA – dopravní automobil.</w:t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end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ind w:hanging="0"/>
        <w:jc w:val="center"/>
        <w:rPr>
          <w:rStyle w:val="Standardnpsmoodstavce"/>
          <w:rFonts w:ascii="Arial" w:hAnsi="Arial" w:cs="Arial"/>
          <w:b/>
          <w:bCs/>
          <w:sz w:val="22"/>
          <w:szCs w:val="22"/>
        </w:rPr>
      </w:pPr>
      <w:r>
        <w:rPr/>
      </w:r>
    </w:p>
    <w:p>
      <w:pPr>
        <w:pStyle w:val="Normlnweb"/>
        <w:spacing w:before="0" w:after="0"/>
        <w:ind w:hanging="0"/>
        <w:jc w:val="center"/>
        <w:rPr/>
      </w:pPr>
      <w:r>
        <w:rPr>
          <w:rStyle w:val="Standardnpsmoodstavce"/>
          <w:rFonts w:cs="Arial" w:ascii="Arial" w:hAnsi="Arial"/>
          <w:b/>
          <w:bCs/>
          <w:sz w:val="22"/>
          <w:szCs w:val="22"/>
        </w:rPr>
        <w:t xml:space="preserve">Příloha č. 3 </w:t>
      </w:r>
      <w:r>
        <w:rPr>
          <w:rStyle w:val="Standardnpsmoodstavce"/>
          <w:rFonts w:cs="Arial" w:ascii="Arial" w:hAnsi="Arial"/>
          <w:b/>
          <w:bCs/>
          <w:iCs/>
          <w:sz w:val="22"/>
          <w:szCs w:val="22"/>
        </w:rPr>
        <w:t>k obecně závazné vyhlášce, kterou se vydává požární řád</w:t>
      </w:r>
    </w:p>
    <w:p>
      <w:pPr>
        <w:pStyle w:val="Normlnweb"/>
        <w:spacing w:before="0" w:after="0"/>
        <w:ind w:hanging="0"/>
        <w:jc w:val="center"/>
        <w:rPr>
          <w:rStyle w:val="Standardnpsmoodstavce"/>
          <w:rFonts w:ascii="Arial" w:hAnsi="Arial" w:cs="Arial"/>
          <w:b/>
          <w:bCs/>
          <w:iCs/>
          <w:sz w:val="22"/>
          <w:szCs w:val="22"/>
        </w:rPr>
      </w:pPr>
      <w:r>
        <w:rPr/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tabs>
          <w:tab w:val="clear" w:pos="708"/>
        </w:tabs>
        <w:ind w:start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Přehled zdrojů vody určených pro hašení požárů na území obce</w:t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323" w:type="dxa"/>
        <w:jc w:val="start"/>
        <w:tblInd w:w="179" w:type="dxa"/>
        <w:tblLayout w:type="fixed"/>
        <w:tblCellMar>
          <w:top w:w="30" w:type="dxa"/>
          <w:start w:w="30" w:type="dxa"/>
          <w:bottom w:w="30" w:type="dxa"/>
          <w:end w:w="30" w:type="dxa"/>
        </w:tblCellMar>
      </w:tblPr>
      <w:tblGrid>
        <w:gridCol w:w="1418"/>
        <w:gridCol w:w="1417"/>
        <w:gridCol w:w="1701"/>
        <w:gridCol w:w="1894"/>
        <w:gridCol w:w="1893"/>
      </w:tblGrid>
      <w:tr>
        <w:trPr/>
        <w:tc>
          <w:tcPr>
            <w:tcW w:w="1418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418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umělé</w:t>
            </w:r>
          </w:p>
        </w:tc>
        <w:tc>
          <w:tcPr>
            <w:tcW w:w="141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Hydrantová síť obce</w:t>
            </w:r>
          </w:p>
        </w:tc>
        <w:tc>
          <w:tcPr>
            <w:tcW w:w="170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Dle umístění jednotlivých hydrantů v plánku obce</w:t>
            </w:r>
          </w:p>
        </w:tc>
        <w:tc>
          <w:tcPr>
            <w:tcW w:w="189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celoroční</w:t>
            </w:r>
          </w:p>
        </w:tc>
      </w:tr>
    </w:tbl>
    <w:p>
      <w:pPr>
        <w:pStyle w:val="Normln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323" w:type="dxa"/>
        <w:jc w:val="start"/>
        <w:tblInd w:w="179" w:type="dxa"/>
        <w:tblLayout w:type="fixed"/>
        <w:tblCellMar>
          <w:top w:w="30" w:type="dxa"/>
          <w:start w:w="30" w:type="dxa"/>
          <w:bottom w:w="30" w:type="dxa"/>
          <w:end w:w="30" w:type="dxa"/>
        </w:tblCellMar>
      </w:tblPr>
      <w:tblGrid>
        <w:gridCol w:w="1418"/>
        <w:gridCol w:w="1417"/>
        <w:gridCol w:w="1701"/>
        <w:gridCol w:w="1894"/>
        <w:gridCol w:w="1893"/>
      </w:tblGrid>
      <w:tr>
        <w:trPr/>
        <w:tc>
          <w:tcPr>
            <w:tcW w:w="1418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jc w:val="center"/>
              <w:rPr/>
            </w:pPr>
            <w:r>
              <w:rPr>
                <w:rStyle w:val="Standardnpsmoodstavce"/>
                <w:rFonts w:cs="Arial" w:ascii="Arial" w:hAnsi="Arial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418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umělé</w:t>
            </w:r>
          </w:p>
        </w:tc>
        <w:tc>
          <w:tcPr>
            <w:tcW w:w="1417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  <w:vAlign w:val="center"/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Požární nádrž v HD Určice</w:t>
            </w:r>
          </w:p>
        </w:tc>
        <w:tc>
          <w:tcPr>
            <w:tcW w:w="1701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/>
            </w:pPr>
            <w:r>
              <w:rPr>
                <w:rStyle w:val="Standardnpsmoodstavce"/>
                <w:rFonts w:cs="Arial" w:ascii="Arial" w:hAnsi="Arial"/>
                <w:sz w:val="22"/>
                <w:szCs w:val="22"/>
              </w:rPr>
              <w:t>45 m</w:t>
            </w:r>
            <w:r>
              <w:rPr>
                <w:rStyle w:val="Standardnpsmoodstavce"/>
                <w:rFonts w:cs="Arial" w:ascii="Arial" w:hAnsi="Arial"/>
                <w:position w:val="6"/>
                <w:sz w:val="14"/>
                <w:sz w:val="22"/>
                <w:szCs w:val="22"/>
              </w:rPr>
              <w:t>3</w:t>
            </w:r>
            <w:r>
              <w:rPr>
                <w:rStyle w:val="Standardnpsmoodstavce"/>
                <w:rFonts w:cs="Arial" w:ascii="Arial" w:hAnsi="Arial"/>
                <w:sz w:val="22"/>
                <w:szCs w:val="22"/>
              </w:rPr>
              <w:t xml:space="preserve">   </w:t>
            </w:r>
          </w:p>
        </w:tc>
        <w:tc>
          <w:tcPr>
            <w:tcW w:w="1894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HD Určice č.p.463</w:t>
            </w:r>
          </w:p>
        </w:tc>
        <w:tc>
          <w:tcPr>
            <w:tcW w:w="1893" w:type="dxa"/>
            <w:tcBorders>
              <w:top w:val="outset" w:sz="2" w:space="0" w:color="000000"/>
              <w:start w:val="outset" w:sz="2" w:space="0" w:color="000000"/>
              <w:bottom w:val="outset" w:sz="2" w:space="0" w:color="000000"/>
              <w:end w:val="outset" w:sz="2" w:space="0" w:color="000000"/>
            </w:tcBorders>
          </w:tcPr>
          <w:p>
            <w:pPr>
              <w:pStyle w:val="Normln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celoroční</w:t>
            </w:r>
          </w:p>
        </w:tc>
      </w:tr>
    </w:tbl>
    <w:p>
      <w:pPr>
        <w:pStyle w:val="Normln"/>
        <w:tabs>
          <w:tab w:val="clear" w:pos="708"/>
        </w:tabs>
        <w:ind w:start="360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ln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ln"/>
        <w:tabs>
          <w:tab w:val="clear" w:pos="708"/>
        </w:tabs>
        <w:ind w:start="360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36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708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708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Odstavecseseznamem"/>
        <w:ind w:start="708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 xml:space="preserve">Plánek obce s vyznačením  </w:t>
      </w:r>
      <w:r>
        <w:rPr>
          <w:rFonts w:cs="Arial" w:ascii="Arial" w:hAnsi="Arial"/>
          <w:b/>
          <w:u w:val="single"/>
        </w:rPr>
        <w:t>podzemních</w:t>
      </w:r>
      <w:r>
        <w:rPr>
          <w:rFonts w:cs="Arial" w:ascii="Arial" w:hAnsi="Arial"/>
          <w:b/>
          <w:u w:val="single"/>
        </w:rPr>
        <w:t xml:space="preserve"> hydrantů pro hašení požárů</w:t>
      </w:r>
    </w:p>
    <w:p>
      <w:pPr>
        <w:pStyle w:val="Normlnweb"/>
        <w:ind w:hanging="0"/>
        <w:rPr/>
      </w:pPr>
      <w:r>
        <w:rPr>
          <w:rStyle w:val="Standardnpsmoodstavce"/>
          <w:rFonts w:cs="Arial" w:ascii="Arial" w:hAnsi="Arial"/>
          <w:color w:val="FF0000"/>
          <w:sz w:val="22"/>
          <w:szCs w:val="22"/>
        </w:rPr>
        <w:drawing>
          <wp:inline distT="0" distB="0" distL="0" distR="0">
            <wp:extent cx="4944745" cy="6995795"/>
            <wp:effectExtent l="0" t="0" r="0" b="0"/>
            <wp:docPr id="1" name="Obrázek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5" cy="699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lnweb"/>
        <w:spacing w:before="100" w:after="10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xtpoznpodarou"/>
        <w:rPr/>
      </w:pPr>
      <w:r>
        <w:rPr>
          <w:rStyle w:val="Znakypropoznmkupodarou"/>
        </w:rPr>
        <w:footnoteRef/>
      </w:r>
      <w:r>
        <w:rPr>
          <w:rStyle w:val="Standardnpsmoodstavce"/>
          <w:rFonts w:ascii="Arial" w:hAnsi="Arial"/>
          <w:color w:val="17365D"/>
        </w:rPr>
        <w:t xml:space="preserve"> </w:t>
      </w:r>
      <w:r>
        <w:rPr>
          <w:rStyle w:val="Standardnpsmoodstavce"/>
          <w:rFonts w:ascii="Arial" w:hAnsi="Arial"/>
        </w:rPr>
        <w:t>§ 7 odst. 1 zákona o požární ochraně</w:t>
      </w:r>
    </w:p>
  </w:footnote>
  <w:footnote w:id="3">
    <w:p>
      <w:pPr>
        <w:pStyle w:val="Textpoznpodarou"/>
        <w:rPr/>
      </w:pPr>
      <w:r>
        <w:rPr>
          <w:rStyle w:val="Znakypropoznmkupodarou"/>
        </w:rPr>
        <w:footnoteRef/>
      </w:r>
      <w:r>
        <w:rPr>
          <w:rStyle w:val="Standardnpsmoodstavce"/>
          <w:rFonts w:ascii="Arial" w:hAnsi="Arial"/>
        </w:rPr>
        <w:t xml:space="preserve"> </w:t>
      </w:r>
      <w:r>
        <w:rPr>
          <w:rStyle w:val="Standardnpsmoodstavce"/>
          <w:rFonts w:ascii="Arial" w:hAnsi="Arial"/>
        </w:rPr>
        <w:t>Nařízení Olomouckého kraje č. 3/2005 ze dne 19.5.2005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Nadpis2user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Nadpis4user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pStyle w:val="Nadpis5user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pStyle w:val="Nadpis7user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1854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574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3294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4014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734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5454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6174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894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7614" w:hanging="180"/>
      </w:pPr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927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47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367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3087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07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527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247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67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687" w:hanging="180"/>
      </w:pPr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8">
    <w:lvl w:ilvl="0">
      <w:start w:val="3"/>
      <w:numFmt w:val="decimal"/>
      <w:lvlText w:val="(%1)"/>
      <w:lvlJc w:val="start"/>
      <w:pPr>
        <w:tabs>
          <w:tab w:val="num" w:pos="0"/>
        </w:tabs>
        <w:ind w:start="501" w:hanging="360"/>
      </w:pPr>
      <w:rPr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81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301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3021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741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461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181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01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621" w:hanging="180"/>
      </w:pPr>
    </w:lvl>
  </w:abstractNum>
  <w:abstractNum w:abstractNumId="9">
    <w:lvl w:ilvl="0">
      <w:start w:val="1"/>
      <w:numFmt w:val="lowerLetter"/>
      <w:lvlText w:val="%1)"/>
      <w:lvlJc w:val="start"/>
      <w:pPr>
        <w:tabs>
          <w:tab w:val="num" w:pos="0"/>
        </w:tabs>
        <w:ind w:start="927" w:hanging="360"/>
      </w:pPr>
      <w:rPr>
        <w:rFonts w:ascii="Arial" w:hAnsi="Arial" w:eastAsia="Times New Roman" w:cs="Arial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647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367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3087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07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527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247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967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687" w:hanging="180"/>
      </w:pPr>
    </w:lvl>
  </w:abstractNum>
  <w:abstractNum w:abstractNumId="10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1">
    <w:lvl w:ilvl="0">
      <w:start w:val="1"/>
      <w:numFmt w:val="decimal"/>
      <w:lvlText w:val="(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start"/>
      <w:textAlignment w:va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cs-CZ" w:eastAsia="cs-CZ" w:bidi="ar-SA"/>
    </w:rPr>
  </w:style>
  <w:style w:type="character" w:styleId="Standardnpsmoodstavce">
    <w:name w:val="Standardní písmo odstavce"/>
    <w:qFormat/>
    <w:rPr/>
  </w:style>
  <w:style w:type="character" w:styleId="FootnoteReference">
    <w:name w:val="footnote reference"/>
    <w:rPr>
      <w:vertAlign w:val="superscript"/>
    </w:rPr>
  </w:style>
  <w:style w:type="character" w:styleId="Odkaznakoment">
    <w:name w:val="Odkaz na komentář"/>
    <w:qFormat/>
    <w:rPr>
      <w:sz w:val="16"/>
      <w:szCs w:val="16"/>
    </w:rPr>
  </w:style>
  <w:style w:type="character" w:styleId="Nadpis4Char">
    <w:name w:val="Nadpis 4 Char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>
    <w:name w:val="Nadpis 5 Char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>
    <w:name w:val="Text pozn. pod čarou Char"/>
    <w:qFormat/>
    <w:rPr/>
  </w:style>
  <w:style w:type="character" w:styleId="NzevChar">
    <w:name w:val="Název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>
    <w:name w:val="Základní text 3 Char"/>
    <w:qFormat/>
    <w:rPr>
      <w:sz w:val="16"/>
      <w:szCs w:val="16"/>
    </w:rPr>
  </w:style>
  <w:style w:type="character" w:styleId="Nadpis7Char">
    <w:name w:val="Nadpis 7 Char"/>
    <w:qFormat/>
    <w:rPr>
      <w:rFonts w:ascii="Calibri" w:hAnsi="Calibri" w:eastAsia="Times New Roman" w:cs="Times New Roman"/>
      <w:sz w:val="24"/>
      <w:szCs w:val="24"/>
    </w:rPr>
  </w:style>
  <w:style w:type="character" w:styleId="WWCharLFO4LVL1">
    <w:name w:val="WW_CharLFO4LVL1"/>
    <w:qFormat/>
    <w:rPr>
      <w:b w:val="false"/>
      <w:u w:val="none"/>
    </w:rPr>
  </w:style>
  <w:style w:type="character" w:styleId="WWCharLFO11LVL1">
    <w:name w:val="WW_CharLFO11LVL1"/>
    <w:qFormat/>
    <w:rPr>
      <w:color w:val="auto"/>
    </w:rPr>
  </w:style>
  <w:style w:type="character" w:styleId="WWCharLFO13LVL1">
    <w:name w:val="WW_CharLFO13LVL1"/>
    <w:qFormat/>
    <w:rPr>
      <w:rFonts w:ascii="Arial" w:hAnsi="Arial" w:eastAsia="Times New Roman" w:cs="Arial"/>
      <w:color w:val="000000"/>
    </w:rPr>
  </w:style>
  <w:style w:type="character" w:styleId="WWCharLFO14LVL1">
    <w:name w:val="WW_CharLFO14LVL1"/>
    <w:qFormat/>
    <w:rPr>
      <w:color w:val="4F81BD"/>
    </w:rPr>
  </w:style>
  <w:style w:type="character" w:styleId="WWCharLFO18LVL1">
    <w:name w:val="WW_CharLFO18LVL1"/>
    <w:qFormat/>
    <w:rPr>
      <w:color w:val="auto"/>
    </w:rPr>
  </w:style>
  <w:style w:type="character" w:styleId="WWCharLFO20LVL1">
    <w:name w:val="WW_CharLFO20LVL1"/>
    <w:qFormat/>
    <w:rPr>
      <w:b w:val="false"/>
    </w:rPr>
  </w:style>
  <w:style w:type="character" w:styleId="WWCharLFO21LVL1">
    <w:name w:val="WW_CharLFO21LVL1"/>
    <w:qFormat/>
    <w:rPr>
      <w:color w:val="000000"/>
    </w:rPr>
  </w:style>
  <w:style w:type="character" w:styleId="WWCharLFO23LVL1">
    <w:name w:val="WW_CharLFO23LVL1"/>
    <w:qFormat/>
    <w:rPr>
      <w:color w:val="auto"/>
    </w:rPr>
  </w:style>
  <w:style w:type="character" w:styleId="WWCharLFO29LVL1">
    <w:name w:val="WW_CharLFO29LVL1"/>
    <w:qFormat/>
    <w:rPr>
      <w:color w:val="auto"/>
    </w:rPr>
  </w:style>
  <w:style w:type="character" w:styleId="WWCharLFO32LVL1">
    <w:name w:val="WW_CharLFO32LVL1"/>
    <w:qFormat/>
    <w:rPr>
      <w:color w:val="auto"/>
    </w:rPr>
  </w:style>
  <w:style w:type="character" w:styleId="WWCharLFO33LVL1">
    <w:name w:val="WW_CharLFO33LVL1"/>
    <w:qFormat/>
    <w:rPr>
      <w:color w:val="auto"/>
    </w:rPr>
  </w:style>
  <w:style w:type="character" w:styleId="WWCharLFO37LVL1">
    <w:name w:val="WW_CharLFO37LVL1"/>
    <w:qFormat/>
    <w:rPr>
      <w:b w:val="false"/>
    </w:rPr>
  </w:style>
  <w:style w:type="character" w:styleId="WWCharLFO41LVL1">
    <w:name w:val="WW_CharLFO41LVL1"/>
    <w:qFormat/>
    <w:rPr>
      <w:rFonts w:ascii="Arial" w:hAnsi="Arial" w:eastAsia="Times New Roman" w:cs="Arial"/>
      <w:color w:val="0070C0"/>
    </w:rPr>
  </w:style>
  <w:style w:type="character" w:styleId="WWCharLFO45LVL1">
    <w:name w:val="WW_CharLFO45LVL1"/>
    <w:qFormat/>
    <w:rPr>
      <w:color w:val="auto"/>
    </w:rPr>
  </w:style>
  <w:style w:type="character" w:styleId="WWCharLFO47LVL1">
    <w:name w:val="WW_CharLFO47LVL1"/>
    <w:qFormat/>
    <w:rPr>
      <w:strike w:val="false"/>
      <w:dstrike w:val="false"/>
      <w:color w:val="auto"/>
      <w:u w:val="none"/>
    </w:rPr>
  </w:style>
  <w:style w:type="character" w:styleId="Ukotvenpoznmkypodarou">
    <w:name w:val="Ukotvení poznámky pod čarou"/>
    <w:qFormat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2user">
    <w:name w:val="Nadpis 2 (user)"/>
    <w:basedOn w:val="Normln"/>
    <w:next w:val="Normln"/>
    <w:qFormat/>
    <w:pPr>
      <w:keepNext w:val="true"/>
      <w:numPr>
        <w:ilvl w:val="1"/>
        <w:numId w:val="1"/>
      </w:numPr>
      <w:suppressAutoHyphens w:val="true"/>
      <w:jc w:val="both"/>
      <w:outlineLvl w:val="1"/>
    </w:pPr>
    <w:rPr>
      <w:szCs w:val="20"/>
      <w:u w:val="single"/>
    </w:rPr>
  </w:style>
  <w:style w:type="paragraph" w:styleId="Nadpis4user">
    <w:name w:val="Nadpis 4 (user)"/>
    <w:basedOn w:val="Normln"/>
    <w:next w:val="Normln"/>
    <w:qFormat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user">
    <w:name w:val="Nadpis 5 (user)"/>
    <w:basedOn w:val="Normln"/>
    <w:next w:val="Normln"/>
    <w:qFormat/>
    <w:pPr>
      <w:numPr>
        <w:ilvl w:val="4"/>
        <w:numId w:val="1"/>
      </w:numPr>
      <w:suppressAutoHyphens w:val="true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user">
    <w:name w:val="Nadpis 7 (user)"/>
    <w:basedOn w:val="Normln"/>
    <w:next w:val="Normln"/>
    <w:qFormat/>
    <w:pPr>
      <w:numPr>
        <w:ilvl w:val="6"/>
        <w:numId w:val="1"/>
      </w:numPr>
      <w:suppressAutoHyphens w:val="true"/>
      <w:spacing w:before="240" w:after="60"/>
      <w:outlineLvl w:val="6"/>
    </w:pPr>
    <w:rPr>
      <w:rFonts w:ascii="Calibri" w:hAnsi="Calibri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  <w:textAlignment w:val="auto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cs-CZ" w:bidi="ar-SA"/>
    </w:rPr>
  </w:style>
  <w:style w:type="paragraph" w:styleId="Zkladntextodsazen">
    <w:name w:val="Základní text odsazený"/>
    <w:basedOn w:val="Normln"/>
    <w:qFormat/>
    <w:pPr>
      <w:tabs>
        <w:tab w:val="clear" w:pos="708"/>
      </w:tabs>
      <w:suppressAutoHyphens w:val="true"/>
      <w:ind w:firstLine="357" w:start="708"/>
      <w:jc w:val="both"/>
    </w:pPr>
    <w:rPr>
      <w:szCs w:val="20"/>
    </w:rPr>
  </w:style>
  <w:style w:type="paragraph" w:styleId="Zkladntextodsazen2">
    <w:name w:val="Základní text odsazený 2"/>
    <w:basedOn w:val="Normln"/>
    <w:qFormat/>
    <w:pPr>
      <w:tabs>
        <w:tab w:val="clear" w:pos="708"/>
      </w:tabs>
      <w:suppressAutoHyphens w:val="true"/>
      <w:ind w:firstLine="360" w:start="708"/>
      <w:jc w:val="both"/>
    </w:pPr>
    <w:rPr>
      <w:bCs/>
      <w:szCs w:val="20"/>
    </w:rPr>
  </w:style>
  <w:style w:type="paragraph" w:styleId="Zhlavuser">
    <w:name w:val="Záhlaví (user)"/>
    <w:basedOn w:val="Normln"/>
    <w:qFormat/>
    <w:pPr>
      <w:tabs>
        <w:tab w:val="clear" w:pos="708"/>
        <w:tab w:val="center" w:pos="4536" w:leader="none"/>
        <w:tab w:val="right" w:pos="9072" w:leader="none"/>
      </w:tabs>
      <w:suppressAutoHyphens w:val="true"/>
    </w:pPr>
    <w:rPr>
      <w:szCs w:val="20"/>
    </w:rPr>
  </w:style>
  <w:style w:type="paragraph" w:styleId="Zkladntext">
    <w:name w:val="Základní text"/>
    <w:basedOn w:val="Normln"/>
    <w:qFormat/>
    <w:pPr>
      <w:suppressAutoHyphens w:val="true"/>
      <w:spacing w:before="0" w:after="120"/>
    </w:pPr>
    <w:rPr>
      <w:szCs w:val="20"/>
    </w:rPr>
  </w:style>
  <w:style w:type="paragraph" w:styleId="Textpoznpodarou">
    <w:name w:val="Text pozn. pod čarou"/>
    <w:basedOn w:val="Normln"/>
    <w:qFormat/>
    <w:pPr>
      <w:suppressAutoHyphens w:val="true"/>
    </w:pPr>
    <w:rPr>
      <w:sz w:val="20"/>
      <w:szCs w:val="20"/>
    </w:rPr>
  </w:style>
  <w:style w:type="paragraph" w:styleId="NormlnIMP">
    <w:name w:val="Normální_IMP"/>
    <w:basedOn w:val="Normln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">
    <w:name w:val="Text komentáře"/>
    <w:basedOn w:val="Normln"/>
    <w:qFormat/>
    <w:pPr>
      <w:suppressAutoHyphens w:val="true"/>
    </w:pPr>
    <w:rPr>
      <w:sz w:val="20"/>
      <w:szCs w:val="20"/>
    </w:rPr>
  </w:style>
  <w:style w:type="paragraph" w:styleId="Zkladntextodsazen3">
    <w:name w:val="Základní text odsazený 3"/>
    <w:basedOn w:val="Normln"/>
    <w:qFormat/>
    <w:pPr>
      <w:widowControl w:val="false"/>
      <w:tabs>
        <w:tab w:val="clear" w:pos="708"/>
        <w:tab w:val="left" w:pos="540" w:leader="none"/>
      </w:tabs>
      <w:suppressAutoHyphens w:val="true"/>
      <w:ind w:hanging="540" w:start="540"/>
      <w:jc w:val="both"/>
    </w:pPr>
    <w:rPr>
      <w:bCs/>
    </w:rPr>
  </w:style>
  <w:style w:type="paragraph" w:styleId="Textbubliny">
    <w:name w:val="Text bubliny"/>
    <w:basedOn w:val="Normln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Normlnweb">
    <w:name w:val="Normální (web)"/>
    <w:basedOn w:val="Normln"/>
    <w:qFormat/>
    <w:pPr>
      <w:suppressAutoHyphens w:val="true"/>
      <w:spacing w:before="100" w:after="100"/>
      <w:ind w:firstLine="500"/>
      <w:jc w:val="both"/>
    </w:pPr>
    <w:rPr>
      <w:color w:val="000000"/>
    </w:rPr>
  </w:style>
  <w:style w:type="paragraph" w:styleId="nzevzkona">
    <w:name w:val="název zákona"/>
    <w:basedOn w:val="Nzevuser"/>
    <w:qFormat/>
    <w:pPr>
      <w:suppressAutoHyphens w:val="true"/>
    </w:pPr>
    <w:rPr/>
  </w:style>
  <w:style w:type="paragraph" w:styleId="Seznamoslovan">
    <w:name w:val="Seznam očíslovaný"/>
    <w:basedOn w:val="Zkladntext"/>
    <w:qFormat/>
    <w:pPr>
      <w:widowControl w:val="false"/>
      <w:tabs>
        <w:tab w:val="clear" w:pos="708"/>
      </w:tabs>
      <w:suppressAutoHyphens w:val="true"/>
      <w:spacing w:before="0" w:after="113"/>
      <w:ind w:hanging="424" w:start="425"/>
      <w:jc w:val="both"/>
    </w:pPr>
    <w:rPr/>
  </w:style>
  <w:style w:type="paragraph" w:styleId="Odstavecseseznamem">
    <w:name w:val="Odstavec se seznamem"/>
    <w:basedOn w:val="Normln"/>
    <w:qFormat/>
    <w:pPr>
      <w:tabs>
        <w:tab w:val="clear" w:pos="708"/>
      </w:tabs>
      <w:suppressAutoHyphens w:val="true"/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Nzevuser">
    <w:name w:val="Název (user)"/>
    <w:basedOn w:val="Normln"/>
    <w:next w:val="Normln"/>
    <w:qFormat/>
    <w:pPr>
      <w:numPr>
        <w:ilvl w:val="0"/>
        <w:numId w:val="0"/>
      </w:numPr>
      <w:suppressAutoHyphens w:val="true"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Zkladntext3">
    <w:name w:val="Základní text 3"/>
    <w:basedOn w:val="Normln"/>
    <w:qFormat/>
    <w:pPr>
      <w:suppressAutoHyphens w:val="true"/>
      <w:spacing w:before="0" w:after="120"/>
    </w:pPr>
    <w:rPr>
      <w:sz w:val="16"/>
      <w:szCs w:val="16"/>
    </w:rPr>
  </w:style>
  <w:style w:type="paragraph" w:styleId="Hlava">
    <w:name w:val="Hlava"/>
    <w:basedOn w:val="Normln"/>
    <w:qFormat/>
    <w:pPr>
      <w:suppressAutoHyphens w:val="true"/>
      <w:autoSpaceDE w:val="false"/>
      <w:spacing w:before="240" w:after="0"/>
      <w:jc w:val="center"/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273</TotalTime>
  <Application>LibreOffice/24.8.5.2$Windows_X86_64 LibreOffice_project/fddf2685c70b461e7832239a0162a77216259f22</Application>
  <AppVersion>15.0000</AppVersion>
  <Pages>7</Pages>
  <Words>1096</Words>
  <Characters>6192</Characters>
  <CharactersWithSpaces>7243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2025-03-04T08:45:00Z</dcterms:created>
  <dc:creator>DA210036</dc:creator>
  <dc:description/>
  <dc:language>cs-CZ</dc:language>
  <cp:lastModifiedBy/>
  <cp:lastPrinted>2025-03-11T07:49:34Z</cp:lastPrinted>
  <dcterms:modified xsi:type="dcterms:W3CDTF">2025-03-11T07:27:05Z</dcterms:modified>
  <cp:revision>7</cp:revision>
  <dc:subject/>
  <dc:title>Vzor obecně závazné vyhlášky obce o stanovení systému shromažďování, sběru, přepravy, třídění, využívání a odstraňování komuná</dc:title>
</cp:coreProperties>
</file>