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6BA35FF" w:rsidR="00455210" w:rsidRPr="00FD7DB7" w:rsidRDefault="00AC765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C7650">
              <w:rPr>
                <w:rFonts w:ascii="Times New Roman" w:hAnsi="Times New Roman"/>
              </w:rPr>
              <w:t>SZ UKZUZ 162878/2022/03861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1E98949" w:rsidR="00455210" w:rsidRPr="00FD7DB7" w:rsidRDefault="002267A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67A6">
              <w:rPr>
                <w:rFonts w:ascii="Times New Roman" w:hAnsi="Times New Roman"/>
              </w:rPr>
              <w:t>UKZUZ 102189/2023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F2357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C7650">
              <w:rPr>
                <w:rFonts w:ascii="Times New Roman" w:hAnsi="Times New Roman"/>
              </w:rPr>
              <w:t>casino</w:t>
            </w:r>
            <w:proofErr w:type="spellEnd"/>
            <w:r w:rsidR="00AC7650">
              <w:rPr>
                <w:rFonts w:ascii="Times New Roman" w:hAnsi="Times New Roman"/>
              </w:rPr>
              <w:t xml:space="preserve"> </w:t>
            </w:r>
            <w:proofErr w:type="spellStart"/>
            <w:r w:rsidR="00AC7650">
              <w:rPr>
                <w:rFonts w:ascii="Times New Roman" w:hAnsi="Times New Roman"/>
              </w:rPr>
              <w:t>royale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744755B" w:rsidR="00455210" w:rsidRPr="00B345B0" w:rsidRDefault="002267A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67A6">
              <w:rPr>
                <w:rFonts w:ascii="Times New Roman" w:hAnsi="Times New Roman"/>
              </w:rPr>
              <w:t>9</w:t>
            </w:r>
            <w:r w:rsidR="00DA0D86" w:rsidRPr="002267A6">
              <w:rPr>
                <w:rFonts w:ascii="Times New Roman" w:hAnsi="Times New Roman"/>
              </w:rPr>
              <w:t xml:space="preserve">. </w:t>
            </w:r>
            <w:r w:rsidR="00AC7650" w:rsidRPr="002267A6">
              <w:rPr>
                <w:rFonts w:ascii="Times New Roman" w:hAnsi="Times New Roman"/>
              </w:rPr>
              <w:t>června</w:t>
            </w:r>
            <w:r w:rsidR="00DA0D86" w:rsidRPr="002267A6">
              <w:rPr>
                <w:rFonts w:ascii="Times New Roman" w:hAnsi="Times New Roman"/>
              </w:rPr>
              <w:t xml:space="preserve"> 202</w:t>
            </w:r>
            <w:r w:rsidR="009B26FC" w:rsidRPr="002267A6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5B19BA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C7650">
        <w:rPr>
          <w:rFonts w:ascii="Times New Roman" w:hAnsi="Times New Roman"/>
          <w:b/>
          <w:sz w:val="28"/>
          <w:szCs w:val="28"/>
        </w:rPr>
        <w:t>Casino</w:t>
      </w:r>
      <w:proofErr w:type="spellEnd"/>
      <w:r w:rsidR="00AC7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7650">
        <w:rPr>
          <w:rFonts w:ascii="Times New Roman" w:hAnsi="Times New Roman"/>
          <w:b/>
          <w:sz w:val="28"/>
          <w:szCs w:val="28"/>
        </w:rPr>
        <w:t>Royale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A23FB">
        <w:rPr>
          <w:rFonts w:ascii="Times New Roman" w:hAnsi="Times New Roman"/>
          <w:b/>
          <w:sz w:val="28"/>
          <w:szCs w:val="28"/>
        </w:rPr>
        <w:t>5</w:t>
      </w:r>
      <w:r w:rsidR="00AC7650">
        <w:rPr>
          <w:rFonts w:ascii="Times New Roman" w:hAnsi="Times New Roman"/>
          <w:b/>
          <w:sz w:val="28"/>
          <w:szCs w:val="28"/>
        </w:rPr>
        <w:t>659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0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87"/>
        <w:gridCol w:w="1275"/>
        <w:gridCol w:w="567"/>
        <w:gridCol w:w="1843"/>
        <w:gridCol w:w="2200"/>
      </w:tblGrid>
      <w:tr w:rsidR="009A23FB" w:rsidRPr="009A23FB" w14:paraId="3F8DA91B" w14:textId="77777777" w:rsidTr="00814A9F">
        <w:tc>
          <w:tcPr>
            <w:tcW w:w="1701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487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C7650" w:rsidRPr="009A23FB" w14:paraId="07CE8FD5" w14:textId="77777777" w:rsidTr="00814A9F">
        <w:tc>
          <w:tcPr>
            <w:tcW w:w="1701" w:type="dxa"/>
          </w:tcPr>
          <w:p w14:paraId="389D3D63" w14:textId="6E81C349" w:rsidR="00AC7650" w:rsidRPr="009A23FB" w:rsidRDefault="00AC7650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487" w:type="dxa"/>
          </w:tcPr>
          <w:p w14:paraId="0348E1E0" w14:textId="0B967583" w:rsidR="00AC7650" w:rsidRPr="009A23FB" w:rsidRDefault="00AC7650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řepy</w:t>
            </w:r>
          </w:p>
        </w:tc>
        <w:tc>
          <w:tcPr>
            <w:tcW w:w="1275" w:type="dxa"/>
          </w:tcPr>
          <w:p w14:paraId="1E0DF8DD" w14:textId="3D1FB9A0" w:rsidR="00AC7650" w:rsidRPr="009A23FB" w:rsidRDefault="00AC7650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688555AC" w14:textId="16A3FB7A" w:rsidR="00AC7650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4513112" w14:textId="77777777" w:rsidR="00AC7650" w:rsidRDefault="00AC7650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15 BBCH, </w:t>
            </w:r>
          </w:p>
          <w:p w14:paraId="38D66729" w14:textId="5013026F" w:rsidR="00AC7650" w:rsidRPr="009A23FB" w:rsidRDefault="00AC7650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144074D3" w14:textId="3EAFA18F" w:rsidR="00AC7650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23210DF1" w14:textId="77777777" w:rsidTr="00814A9F">
        <w:trPr>
          <w:trHeight w:val="57"/>
        </w:trPr>
        <w:tc>
          <w:tcPr>
            <w:tcW w:w="1701" w:type="dxa"/>
          </w:tcPr>
          <w:p w14:paraId="1A70954E" w14:textId="5BF9549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2487" w:type="dxa"/>
          </w:tcPr>
          <w:p w14:paraId="6C1C8A47" w14:textId="564C15F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bílá hniloba miříkovitých</w:t>
            </w:r>
          </w:p>
        </w:tc>
        <w:tc>
          <w:tcPr>
            <w:tcW w:w="1275" w:type="dxa"/>
          </w:tcPr>
          <w:p w14:paraId="1DF1C7CC" w14:textId="55DBE7E2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2220BE7F" w14:textId="2A282C82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2036DB13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15 BBCH, </w:t>
            </w:r>
          </w:p>
          <w:p w14:paraId="62B41255" w14:textId="20B6CF2E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31304057" w14:textId="1A9DBF96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F2B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5C474AB3" w14:textId="77777777" w:rsidTr="00814A9F">
        <w:trPr>
          <w:trHeight w:val="57"/>
        </w:trPr>
        <w:tc>
          <w:tcPr>
            <w:tcW w:w="1701" w:type="dxa"/>
          </w:tcPr>
          <w:p w14:paraId="71450F62" w14:textId="074A406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petržel, pastinák</w:t>
            </w:r>
          </w:p>
        </w:tc>
        <w:tc>
          <w:tcPr>
            <w:tcW w:w="2487" w:type="dxa"/>
          </w:tcPr>
          <w:p w14:paraId="016C061C" w14:textId="1831BFD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padlí miříkovitých</w:t>
            </w:r>
          </w:p>
        </w:tc>
        <w:tc>
          <w:tcPr>
            <w:tcW w:w="1275" w:type="dxa"/>
          </w:tcPr>
          <w:p w14:paraId="28331C0B" w14:textId="606B3029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4BC78A7E" w14:textId="5600270A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6512191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15 BBCH, </w:t>
            </w:r>
          </w:p>
          <w:p w14:paraId="4118E777" w14:textId="0B102B13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7374A0BC" w14:textId="30CB8CF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F2B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26A6AFD1" w14:textId="77777777" w:rsidTr="00814A9F">
        <w:trPr>
          <w:trHeight w:val="57"/>
        </w:trPr>
        <w:tc>
          <w:tcPr>
            <w:tcW w:w="1701" w:type="dxa"/>
          </w:tcPr>
          <w:p w14:paraId="6A9FC891" w14:textId="6B335EC2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2487" w:type="dxa"/>
          </w:tcPr>
          <w:p w14:paraId="0EDE5B2A" w14:textId="6E38A699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5" w:type="dxa"/>
          </w:tcPr>
          <w:p w14:paraId="035C10BC" w14:textId="020CCF9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7DFAB1CB" w14:textId="4ECACCBA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1C881B8C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11 BBCH, </w:t>
            </w:r>
          </w:p>
          <w:p w14:paraId="1583AD1D" w14:textId="51E88423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7794E874" w14:textId="0BECF2A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F2B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6EC88A34" w14:textId="77777777" w:rsidTr="00814A9F">
        <w:trPr>
          <w:trHeight w:val="57"/>
        </w:trPr>
        <w:tc>
          <w:tcPr>
            <w:tcW w:w="1701" w:type="dxa"/>
          </w:tcPr>
          <w:p w14:paraId="22F1EE37" w14:textId="49AFE596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ředkvička</w:t>
            </w:r>
          </w:p>
        </w:tc>
        <w:tc>
          <w:tcPr>
            <w:tcW w:w="2487" w:type="dxa"/>
          </w:tcPr>
          <w:p w14:paraId="364C8461" w14:textId="0B96E24C" w:rsidR="00814A9F" w:rsidRPr="009A23FB" w:rsidRDefault="00C80147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5" w:type="dxa"/>
          </w:tcPr>
          <w:p w14:paraId="307F5342" w14:textId="7775F45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1FA9D289" w14:textId="1861D191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5BCC0A26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11 BBCH, </w:t>
            </w:r>
          </w:p>
          <w:p w14:paraId="50FE9727" w14:textId="79A220A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00" w:type="dxa"/>
          </w:tcPr>
          <w:p w14:paraId="51F994A6" w14:textId="45785B3C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0E9855EE" w14:textId="77777777" w:rsidTr="00814A9F">
        <w:trPr>
          <w:trHeight w:val="57"/>
        </w:trPr>
        <w:tc>
          <w:tcPr>
            <w:tcW w:w="1701" w:type="dxa"/>
          </w:tcPr>
          <w:p w14:paraId="4C11F4F7" w14:textId="3CA97C1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487" w:type="dxa"/>
          </w:tcPr>
          <w:p w14:paraId="67EF974C" w14:textId="33AF667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zelná, padlí brukvovitých, </w:t>
            </w: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6D8C2A34" w14:textId="41A7243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353C06CD" w14:textId="5FF6E256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1EACDF43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15 BBCH, </w:t>
            </w:r>
          </w:p>
          <w:p w14:paraId="5ADDAE54" w14:textId="4EB2066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0575ADC7" w14:textId="3550D62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56DB3736" w14:textId="77777777" w:rsidTr="00814A9F">
        <w:trPr>
          <w:trHeight w:val="57"/>
        </w:trPr>
        <w:tc>
          <w:tcPr>
            <w:tcW w:w="1701" w:type="dxa"/>
          </w:tcPr>
          <w:p w14:paraId="2668E5F2" w14:textId="03DDD80E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tuřín</w:t>
            </w:r>
          </w:p>
        </w:tc>
        <w:tc>
          <w:tcPr>
            <w:tcW w:w="2487" w:type="dxa"/>
          </w:tcPr>
          <w:p w14:paraId="214A4251" w14:textId="1B545B48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zelná, padlí brukvovitých</w:t>
            </w:r>
          </w:p>
        </w:tc>
        <w:tc>
          <w:tcPr>
            <w:tcW w:w="1275" w:type="dxa"/>
          </w:tcPr>
          <w:p w14:paraId="38DEE941" w14:textId="1101F063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5AA7358F" w14:textId="02DDFEA6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4278CF60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15 BBCH, </w:t>
            </w:r>
          </w:p>
          <w:p w14:paraId="5BBE8BB6" w14:textId="61FD0369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38029A03" w14:textId="79346956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77B69265" w14:textId="77777777" w:rsidTr="00814A9F">
        <w:trPr>
          <w:trHeight w:val="57"/>
        </w:trPr>
        <w:tc>
          <w:tcPr>
            <w:tcW w:w="1701" w:type="dxa"/>
          </w:tcPr>
          <w:p w14:paraId="040935DB" w14:textId="6654914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vodnice</w:t>
            </w:r>
          </w:p>
        </w:tc>
        <w:tc>
          <w:tcPr>
            <w:tcW w:w="2487" w:type="dxa"/>
          </w:tcPr>
          <w:p w14:paraId="7063B2ED" w14:textId="2365AC18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="00C8014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="00C8014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5" w:type="dxa"/>
          </w:tcPr>
          <w:p w14:paraId="3BD419EC" w14:textId="776D523B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52F334E5" w14:textId="308175D6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E100D75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11 BBCH, </w:t>
            </w:r>
          </w:p>
          <w:p w14:paraId="57411DF1" w14:textId="2091A26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78267DD7" w14:textId="6AB9F9E8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1DB622AA" w14:textId="77777777" w:rsidTr="00814A9F">
        <w:trPr>
          <w:trHeight w:val="57"/>
        </w:trPr>
        <w:tc>
          <w:tcPr>
            <w:tcW w:w="1701" w:type="dxa"/>
          </w:tcPr>
          <w:p w14:paraId="33B00AFD" w14:textId="5818BF1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</w:t>
            </w:r>
          </w:p>
        </w:tc>
        <w:tc>
          <w:tcPr>
            <w:tcW w:w="2487" w:type="dxa"/>
          </w:tcPr>
          <w:p w14:paraId="03A24DB4" w14:textId="28C7A0C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rzivost čekanky</w:t>
            </w:r>
          </w:p>
        </w:tc>
        <w:tc>
          <w:tcPr>
            <w:tcW w:w="1275" w:type="dxa"/>
          </w:tcPr>
          <w:p w14:paraId="048B91F0" w14:textId="4211DE86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796A69B8" w14:textId="1537B186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19253AE8" w14:textId="700AA99B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</w:t>
            </w:r>
            <w:r w:rsidR="00A72EFC"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</w:t>
            </w:r>
          </w:p>
          <w:p w14:paraId="0266A744" w14:textId="75BE1B2B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47 BBCH </w:t>
            </w:r>
          </w:p>
        </w:tc>
        <w:tc>
          <w:tcPr>
            <w:tcW w:w="2200" w:type="dxa"/>
          </w:tcPr>
          <w:p w14:paraId="372B9313" w14:textId="7BB5283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6CB1D039" w14:textId="77777777" w:rsidTr="00814A9F">
        <w:trPr>
          <w:trHeight w:val="57"/>
        </w:trPr>
        <w:tc>
          <w:tcPr>
            <w:tcW w:w="1701" w:type="dxa"/>
          </w:tcPr>
          <w:p w14:paraId="4D9E94A1" w14:textId="095346C8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kozí brada </w:t>
            </w: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</w:p>
        </w:tc>
        <w:tc>
          <w:tcPr>
            <w:tcW w:w="2487" w:type="dxa"/>
          </w:tcPr>
          <w:p w14:paraId="57B8B928" w14:textId="12BF2DCE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bílá hniloba, </w:t>
            </w:r>
            <w:proofErr w:type="spellStart"/>
            <w:r w:rsidR="00C8014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="00C8014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275" w:type="dxa"/>
          </w:tcPr>
          <w:p w14:paraId="64A4171C" w14:textId="4812D24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06177660" w14:textId="2CB00790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71FA6B07" w14:textId="77777777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41 BBCH, </w:t>
            </w:r>
          </w:p>
          <w:p w14:paraId="4D24F540" w14:textId="64537D4A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00" w:type="dxa"/>
          </w:tcPr>
          <w:p w14:paraId="1DE170D1" w14:textId="6FD5F976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27325A43" w14:textId="77777777" w:rsidTr="00814A9F">
        <w:trPr>
          <w:trHeight w:val="57"/>
        </w:trPr>
        <w:tc>
          <w:tcPr>
            <w:tcW w:w="1701" w:type="dxa"/>
          </w:tcPr>
          <w:p w14:paraId="4FD7D1E6" w14:textId="3BD2B30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kuchyňská, cibule šalotka</w:t>
            </w:r>
          </w:p>
        </w:tc>
        <w:tc>
          <w:tcPr>
            <w:tcW w:w="2487" w:type="dxa"/>
          </w:tcPr>
          <w:p w14:paraId="259C381A" w14:textId="6C60F5BB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cibulová, </w:t>
            </w: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česnekovitých, </w:t>
            </w: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stemphyliová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75210539" w14:textId="0410273B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567" w:type="dxa"/>
          </w:tcPr>
          <w:p w14:paraId="0ED25C5D" w14:textId="53D3C6AC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5A31119A" w14:textId="77777777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13 BBCH, </w:t>
            </w:r>
          </w:p>
          <w:p w14:paraId="372E0A9E" w14:textId="6F8847A2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48 BBCH </w:t>
            </w:r>
          </w:p>
        </w:tc>
        <w:tc>
          <w:tcPr>
            <w:tcW w:w="2200" w:type="dxa"/>
          </w:tcPr>
          <w:p w14:paraId="7C5A1707" w14:textId="7ED01861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0D9EBF0A" w14:textId="77777777" w:rsidTr="00814A9F">
        <w:trPr>
          <w:trHeight w:val="57"/>
        </w:trPr>
        <w:tc>
          <w:tcPr>
            <w:tcW w:w="1701" w:type="dxa"/>
          </w:tcPr>
          <w:p w14:paraId="4CF23246" w14:textId="5D4B828B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sečka</w:t>
            </w:r>
          </w:p>
        </w:tc>
        <w:tc>
          <w:tcPr>
            <w:tcW w:w="2487" w:type="dxa"/>
          </w:tcPr>
          <w:p w14:paraId="027F9488" w14:textId="77C28AFE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rez póru, zasychání špiček listů póru, </w:t>
            </w: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česnekovitých</w:t>
            </w:r>
          </w:p>
        </w:tc>
        <w:tc>
          <w:tcPr>
            <w:tcW w:w="1275" w:type="dxa"/>
          </w:tcPr>
          <w:p w14:paraId="7371C480" w14:textId="2BEEE3A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6E8C4AF3" w14:textId="18C8D2A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28D357BE" w14:textId="77777777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13 BBCH, </w:t>
            </w:r>
          </w:p>
          <w:p w14:paraId="17244524" w14:textId="4EFF0799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47 BBCH </w:t>
            </w:r>
          </w:p>
        </w:tc>
        <w:tc>
          <w:tcPr>
            <w:tcW w:w="2200" w:type="dxa"/>
          </w:tcPr>
          <w:p w14:paraId="657D291A" w14:textId="10442C7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2E619CA2" w14:textId="77777777" w:rsidTr="00814A9F">
        <w:trPr>
          <w:trHeight w:val="57"/>
        </w:trPr>
        <w:tc>
          <w:tcPr>
            <w:tcW w:w="1701" w:type="dxa"/>
          </w:tcPr>
          <w:p w14:paraId="60950E09" w14:textId="247F6045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2487" w:type="dxa"/>
          </w:tcPr>
          <w:p w14:paraId="51484BCE" w14:textId="353CAA5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bramboru, </w:t>
            </w: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5D910430" w14:textId="4689293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1F5A83ED" w14:textId="4C1ED9D9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261C69D4" w14:textId="77777777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20 BBCH, </w:t>
            </w:r>
          </w:p>
          <w:p w14:paraId="6E83D072" w14:textId="12178D24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A72EFC"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70</w:t>
            </w: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2200" w:type="dxa"/>
          </w:tcPr>
          <w:p w14:paraId="51E08BD7" w14:textId="226A8203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0600147E" w14:textId="77777777" w:rsidTr="00B74CBC">
        <w:trPr>
          <w:trHeight w:val="57"/>
        </w:trPr>
        <w:tc>
          <w:tcPr>
            <w:tcW w:w="1701" w:type="dxa"/>
          </w:tcPr>
          <w:p w14:paraId="752F6565" w14:textId="7777777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2487" w:type="dxa"/>
          </w:tcPr>
          <w:p w14:paraId="3651C6A2" w14:textId="7777777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rajčete, bílá hniloba rajčete, hnědá skvrnitost rajčat</w:t>
            </w:r>
          </w:p>
        </w:tc>
        <w:tc>
          <w:tcPr>
            <w:tcW w:w="1275" w:type="dxa"/>
          </w:tcPr>
          <w:p w14:paraId="7A3E00E7" w14:textId="77777777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</w:t>
            </w:r>
          </w:p>
        </w:tc>
        <w:tc>
          <w:tcPr>
            <w:tcW w:w="567" w:type="dxa"/>
          </w:tcPr>
          <w:p w14:paraId="37B585C5" w14:textId="56983CE3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49D9A71D" w14:textId="77777777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20 BBCH, </w:t>
            </w:r>
          </w:p>
          <w:p w14:paraId="3DECE77D" w14:textId="3B95D8B7" w:rsidR="00814A9F" w:rsidRPr="002E3B34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A72EFC"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70</w:t>
            </w:r>
            <w:r w:rsidRPr="002E3B3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2200" w:type="dxa"/>
          </w:tcPr>
          <w:p w14:paraId="44798C17" w14:textId="6B0A6A14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1E548A87" w14:textId="77777777" w:rsidTr="00814A9F">
        <w:trPr>
          <w:trHeight w:val="57"/>
        </w:trPr>
        <w:tc>
          <w:tcPr>
            <w:tcW w:w="1701" w:type="dxa"/>
          </w:tcPr>
          <w:p w14:paraId="42D9F6C8" w14:textId="704FD8B5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487" w:type="dxa"/>
          </w:tcPr>
          <w:p w14:paraId="3EDD27BB" w14:textId="328DD188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4549F8F1" w14:textId="39B31D7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 kg/ha</w:t>
            </w:r>
          </w:p>
        </w:tc>
        <w:tc>
          <w:tcPr>
            <w:tcW w:w="567" w:type="dxa"/>
          </w:tcPr>
          <w:p w14:paraId="41DFFE62" w14:textId="3E9CFD01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ECABD83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13 BBCH, </w:t>
            </w:r>
          </w:p>
          <w:p w14:paraId="492EBE5B" w14:textId="6E5CF25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47 BBCH </w:t>
            </w:r>
          </w:p>
        </w:tc>
        <w:tc>
          <w:tcPr>
            <w:tcW w:w="2200" w:type="dxa"/>
          </w:tcPr>
          <w:p w14:paraId="21499136" w14:textId="09947BE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555F700E" w14:textId="77777777" w:rsidTr="00814A9F">
        <w:trPr>
          <w:trHeight w:val="57"/>
        </w:trPr>
        <w:tc>
          <w:tcPr>
            <w:tcW w:w="1701" w:type="dxa"/>
          </w:tcPr>
          <w:p w14:paraId="6CFD9A75" w14:textId="5F03E14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487" w:type="dxa"/>
          </w:tcPr>
          <w:p w14:paraId="581B5DC8" w14:textId="7575E0E0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1275" w:type="dxa"/>
          </w:tcPr>
          <w:p w14:paraId="2CE9B56C" w14:textId="452A24F5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0,18 kg/ha</w:t>
            </w:r>
          </w:p>
        </w:tc>
        <w:tc>
          <w:tcPr>
            <w:tcW w:w="567" w:type="dxa"/>
          </w:tcPr>
          <w:p w14:paraId="1CE1BC10" w14:textId="2CEDE330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193FB6A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13 BBCH, </w:t>
            </w:r>
          </w:p>
          <w:p w14:paraId="1AF884C3" w14:textId="035150C3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47 BBCH </w:t>
            </w:r>
          </w:p>
        </w:tc>
        <w:tc>
          <w:tcPr>
            <w:tcW w:w="2200" w:type="dxa"/>
          </w:tcPr>
          <w:p w14:paraId="4B09E33D" w14:textId="2062F3EA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14A9F" w:rsidRPr="009A23FB" w14:paraId="44E16CE1" w14:textId="77777777" w:rsidTr="00814A9F">
        <w:trPr>
          <w:trHeight w:val="57"/>
        </w:trPr>
        <w:tc>
          <w:tcPr>
            <w:tcW w:w="1701" w:type="dxa"/>
          </w:tcPr>
          <w:p w14:paraId="75D5317A" w14:textId="1E4CE33D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487" w:type="dxa"/>
          </w:tcPr>
          <w:p w14:paraId="0ED81AC5" w14:textId="1752512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bílá hniloba, </w:t>
            </w:r>
            <w:proofErr w:type="spellStart"/>
            <w:r w:rsidR="00C8014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="00C8014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275" w:type="dxa"/>
          </w:tcPr>
          <w:p w14:paraId="1387BE60" w14:textId="6BE35585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kg/ha</w:t>
            </w:r>
          </w:p>
        </w:tc>
        <w:tc>
          <w:tcPr>
            <w:tcW w:w="567" w:type="dxa"/>
          </w:tcPr>
          <w:p w14:paraId="599F354D" w14:textId="2EE6F4E6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C89C0F8" w14:textId="77777777" w:rsidR="00814A9F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13 BBCH, </w:t>
            </w:r>
          </w:p>
          <w:p w14:paraId="4BCCAF4D" w14:textId="486D19F6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765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47 BBCH </w:t>
            </w:r>
          </w:p>
        </w:tc>
        <w:tc>
          <w:tcPr>
            <w:tcW w:w="2200" w:type="dxa"/>
          </w:tcPr>
          <w:p w14:paraId="066DFF22" w14:textId="0F34100F" w:rsidR="00814A9F" w:rsidRPr="009A23FB" w:rsidRDefault="00814A9F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C0B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5CCBA4C0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559"/>
        <w:gridCol w:w="1276"/>
        <w:gridCol w:w="1984"/>
        <w:gridCol w:w="1700"/>
      </w:tblGrid>
      <w:tr w:rsidR="00814A9F" w:rsidRPr="009A23FB" w14:paraId="3B191BF1" w14:textId="4A91CA8B" w:rsidTr="00A72EFC">
        <w:tc>
          <w:tcPr>
            <w:tcW w:w="2977" w:type="dxa"/>
          </w:tcPr>
          <w:p w14:paraId="6D21D4C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45EC12A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0C93A9F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56141EB9" w14:textId="470A1B88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814A9F" w:rsidRPr="00814A9F" w14:paraId="369D0BB2" w14:textId="5CEB778C" w:rsidTr="00A72EFC">
        <w:tc>
          <w:tcPr>
            <w:tcW w:w="2977" w:type="dxa"/>
          </w:tcPr>
          <w:p w14:paraId="4D51B707" w14:textId="46AF3573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kuchyňská, cibule šalotka, cibule sečka</w:t>
            </w:r>
          </w:p>
        </w:tc>
        <w:tc>
          <w:tcPr>
            <w:tcW w:w="1559" w:type="dxa"/>
          </w:tcPr>
          <w:p w14:paraId="52E77683" w14:textId="4AA2593D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1276" w:type="dxa"/>
          </w:tcPr>
          <w:p w14:paraId="14BA59CE" w14:textId="5146588B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12BFAF1B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0" w:type="dxa"/>
          </w:tcPr>
          <w:p w14:paraId="5056159E" w14:textId="77777777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14A9F" w:rsidRPr="00814A9F" w14:paraId="3BF46861" w14:textId="77777777" w:rsidTr="00A72EFC">
        <w:tc>
          <w:tcPr>
            <w:tcW w:w="2977" w:type="dxa"/>
          </w:tcPr>
          <w:p w14:paraId="2E0B4339" w14:textId="5EAD53C8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rajče, baklažán, kozí brada </w:t>
            </w:r>
            <w:proofErr w:type="spellStart"/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pórolistá</w:t>
            </w:r>
            <w:proofErr w:type="spellEnd"/>
          </w:p>
        </w:tc>
        <w:tc>
          <w:tcPr>
            <w:tcW w:w="1559" w:type="dxa"/>
          </w:tcPr>
          <w:p w14:paraId="011E9E8E" w14:textId="3A74099B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1276" w:type="dxa"/>
          </w:tcPr>
          <w:p w14:paraId="0EB54D95" w14:textId="10A15302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17FA2316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0653125F" w14:textId="7220AEAC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8 dnů</w:t>
            </w:r>
          </w:p>
        </w:tc>
      </w:tr>
      <w:tr w:rsidR="00814A9F" w:rsidRPr="00814A9F" w14:paraId="67C4065B" w14:textId="77777777" w:rsidTr="00A72EFC">
        <w:tc>
          <w:tcPr>
            <w:tcW w:w="2977" w:type="dxa"/>
          </w:tcPr>
          <w:p w14:paraId="2A351DA8" w14:textId="6AD9F8B7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bulvový, řepa salátová</w:t>
            </w:r>
          </w:p>
        </w:tc>
        <w:tc>
          <w:tcPr>
            <w:tcW w:w="1559" w:type="dxa"/>
          </w:tcPr>
          <w:p w14:paraId="52BF853B" w14:textId="4727649D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1276" w:type="dxa"/>
          </w:tcPr>
          <w:p w14:paraId="1867020D" w14:textId="4D4BB6AC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2C6697D" w14:textId="6CABC3F1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50C9C629" w14:textId="1488DE21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814A9F" w:rsidRPr="00814A9F" w14:paraId="5D4A6107" w14:textId="77777777" w:rsidTr="00A72EFC">
        <w:tc>
          <w:tcPr>
            <w:tcW w:w="2977" w:type="dxa"/>
          </w:tcPr>
          <w:p w14:paraId="39B29B6E" w14:textId="61BE48EA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čekanka, křen, ředkvička, tuřín, vodnice</w:t>
            </w:r>
          </w:p>
        </w:tc>
        <w:tc>
          <w:tcPr>
            <w:tcW w:w="1559" w:type="dxa"/>
          </w:tcPr>
          <w:p w14:paraId="1401A088" w14:textId="5C002A4C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1276" w:type="dxa"/>
          </w:tcPr>
          <w:p w14:paraId="1D784585" w14:textId="0D639807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A0FB711" w14:textId="40CC0608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37EEC00C" w14:textId="6E10314D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814A9F" w:rsidRPr="00814A9F" w14:paraId="10B8DA9D" w14:textId="77777777" w:rsidTr="00A72EFC">
        <w:tc>
          <w:tcPr>
            <w:tcW w:w="2977" w:type="dxa"/>
          </w:tcPr>
          <w:p w14:paraId="4B07A891" w14:textId="7E40535A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petržel, pastinák</w:t>
            </w:r>
          </w:p>
        </w:tc>
        <w:tc>
          <w:tcPr>
            <w:tcW w:w="1559" w:type="dxa"/>
          </w:tcPr>
          <w:p w14:paraId="7FDAB0E4" w14:textId="04CA919E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1276" w:type="dxa"/>
          </w:tcPr>
          <w:p w14:paraId="03C12274" w14:textId="6A411FDB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35366ED" w14:textId="5F6FFD02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51A06112" w14:textId="664A1782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814A9F" w:rsidRPr="00814A9F" w14:paraId="35A74C40" w14:textId="77777777" w:rsidTr="00A72EFC">
        <w:tc>
          <w:tcPr>
            <w:tcW w:w="2977" w:type="dxa"/>
          </w:tcPr>
          <w:p w14:paraId="7187263E" w14:textId="4374B1A4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68D2FDAD" w14:textId="6ECFAB21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 l/ha</w:t>
            </w:r>
          </w:p>
        </w:tc>
        <w:tc>
          <w:tcPr>
            <w:tcW w:w="1276" w:type="dxa"/>
          </w:tcPr>
          <w:p w14:paraId="015AB815" w14:textId="2FE506ED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1054B621" w14:textId="49ADD43C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  <w:r w:rsidR="00611A1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700" w:type="dxa"/>
          </w:tcPr>
          <w:p w14:paraId="1CDBC1D2" w14:textId="53464E11" w:rsidR="00814A9F" w:rsidRPr="009A23FB" w:rsidRDefault="00814A9F" w:rsidP="00814A9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14A9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566"/>
      </w:tblGrid>
      <w:tr w:rsidR="00DF1FDB" w:rsidRPr="007E1DC1" w14:paraId="5228D467" w14:textId="77777777" w:rsidTr="00A72EFC">
        <w:trPr>
          <w:trHeight w:val="220"/>
        </w:trPr>
        <w:tc>
          <w:tcPr>
            <w:tcW w:w="3290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2EFC">
        <w:trPr>
          <w:trHeight w:val="275"/>
        </w:trPr>
        <w:tc>
          <w:tcPr>
            <w:tcW w:w="9531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72EFC" w:rsidRPr="007E1DC1" w14:paraId="6BC96D84" w14:textId="77777777" w:rsidTr="00A72EFC">
        <w:trPr>
          <w:trHeight w:val="275"/>
        </w:trPr>
        <w:tc>
          <w:tcPr>
            <w:tcW w:w="3290" w:type="dxa"/>
            <w:shd w:val="clear" w:color="auto" w:fill="FFFFFF"/>
          </w:tcPr>
          <w:p w14:paraId="4ED3C240" w14:textId="0DAFC00C" w:rsidR="00A72EFC" w:rsidRPr="00DF1FDB" w:rsidRDefault="00A72EFC" w:rsidP="00A72EFC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ř</w:t>
            </w:r>
            <w:r w:rsidRPr="00084863">
              <w:rPr>
                <w:iCs/>
                <w:sz w:val="24"/>
                <w:szCs w:val="24"/>
              </w:rPr>
              <w:t>epa</w:t>
            </w:r>
            <w:r>
              <w:rPr>
                <w:iCs/>
                <w:sz w:val="24"/>
                <w:szCs w:val="24"/>
              </w:rPr>
              <w:t xml:space="preserve"> salátová</w:t>
            </w:r>
            <w:r w:rsidRPr="00084863">
              <w:rPr>
                <w:iCs/>
                <w:sz w:val="24"/>
                <w:szCs w:val="24"/>
              </w:rPr>
              <w:t xml:space="preserve">, celer bulvový, tuřín, vodnice, </w:t>
            </w:r>
            <w:r>
              <w:rPr>
                <w:iCs/>
                <w:sz w:val="24"/>
                <w:szCs w:val="24"/>
              </w:rPr>
              <w:t>r</w:t>
            </w:r>
            <w:r w:rsidRPr="00084863">
              <w:rPr>
                <w:sz w:val="24"/>
                <w:szCs w:val="24"/>
              </w:rPr>
              <w:t>ajče, baklažán</w:t>
            </w:r>
          </w:p>
        </w:tc>
        <w:tc>
          <w:tcPr>
            <w:tcW w:w="1571" w:type="dxa"/>
            <w:vAlign w:val="center"/>
          </w:tcPr>
          <w:p w14:paraId="2CCFF0C9" w14:textId="7C81D3DC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1552" w:type="dxa"/>
            <w:vAlign w:val="center"/>
          </w:tcPr>
          <w:p w14:paraId="40551933" w14:textId="1BA9AAF7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1BB48CA0" w14:textId="57108BF0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center"/>
          </w:tcPr>
          <w:p w14:paraId="78839A75" w14:textId="30D55798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4</w:t>
            </w:r>
          </w:p>
        </w:tc>
      </w:tr>
      <w:tr w:rsidR="00A72EFC" w:rsidRPr="007E1DC1" w14:paraId="322FB59B" w14:textId="77777777" w:rsidTr="00A72EFC">
        <w:trPr>
          <w:trHeight w:val="275"/>
        </w:trPr>
        <w:tc>
          <w:tcPr>
            <w:tcW w:w="3290" w:type="dxa"/>
            <w:shd w:val="clear" w:color="auto" w:fill="FFFFFF"/>
          </w:tcPr>
          <w:p w14:paraId="038E4128" w14:textId="2324854E" w:rsidR="00A72EFC" w:rsidRPr="00084863" w:rsidRDefault="00A72EFC" w:rsidP="00A72EF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84863">
              <w:rPr>
                <w:rFonts w:ascii="Times New Roman" w:hAnsi="Times New Roman"/>
                <w:sz w:val="24"/>
                <w:szCs w:val="24"/>
              </w:rPr>
              <w:t xml:space="preserve">etržel, pastinák, křen, čekanka, kozí brada </w:t>
            </w:r>
            <w:proofErr w:type="spellStart"/>
            <w:r w:rsidRPr="00084863">
              <w:rPr>
                <w:rFonts w:ascii="Times New Roman" w:hAnsi="Times New Roman"/>
                <w:sz w:val="24"/>
                <w:szCs w:val="24"/>
              </w:rPr>
              <w:t>pórolistá</w:t>
            </w:r>
            <w:proofErr w:type="spellEnd"/>
          </w:p>
          <w:p w14:paraId="1720A77F" w14:textId="5FA66899" w:rsidR="00A72EFC" w:rsidRPr="009A23FB" w:rsidRDefault="00A72EFC" w:rsidP="00A72EFC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Pr="00084863">
              <w:rPr>
                <w:sz w:val="24"/>
                <w:szCs w:val="24"/>
              </w:rPr>
              <w:t xml:space="preserve">edkvička, cibule kuchyňská, cibule šalotka, cibule </w:t>
            </w:r>
            <w:r>
              <w:rPr>
                <w:sz w:val="24"/>
                <w:szCs w:val="24"/>
              </w:rPr>
              <w:t>sečka</w:t>
            </w:r>
          </w:p>
        </w:tc>
        <w:tc>
          <w:tcPr>
            <w:tcW w:w="1571" w:type="dxa"/>
            <w:vAlign w:val="center"/>
          </w:tcPr>
          <w:p w14:paraId="5AC66317" w14:textId="07BDE838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1552" w:type="dxa"/>
            <w:vAlign w:val="center"/>
          </w:tcPr>
          <w:p w14:paraId="07D44CCA" w14:textId="1B826DAF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76929647" w14:textId="75B69508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center"/>
          </w:tcPr>
          <w:p w14:paraId="709C2B22" w14:textId="78805887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4</w:t>
            </w:r>
          </w:p>
        </w:tc>
      </w:tr>
      <w:tr w:rsidR="00A72EFC" w:rsidRPr="007E1DC1" w14:paraId="080548A2" w14:textId="77777777" w:rsidTr="00A72EFC">
        <w:trPr>
          <w:trHeight w:val="275"/>
        </w:trPr>
        <w:tc>
          <w:tcPr>
            <w:tcW w:w="3290" w:type="dxa"/>
            <w:shd w:val="clear" w:color="auto" w:fill="FFFFFF"/>
          </w:tcPr>
          <w:p w14:paraId="12F67DE6" w14:textId="5CD9273D" w:rsidR="00A72EFC" w:rsidRPr="009A23FB" w:rsidRDefault="00A72EFC" w:rsidP="00A72EFC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okrasné rostliny ˃ 150 cm</w:t>
            </w:r>
          </w:p>
        </w:tc>
        <w:tc>
          <w:tcPr>
            <w:tcW w:w="1571" w:type="dxa"/>
            <w:vAlign w:val="center"/>
          </w:tcPr>
          <w:p w14:paraId="15488E6A" w14:textId="67D36A39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1B8C3248" w14:textId="349EEFD7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6C71A95A" w14:textId="5063CA7E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563" w:type="dxa"/>
            <w:vAlign w:val="center"/>
          </w:tcPr>
          <w:p w14:paraId="5F7AE08C" w14:textId="1F5C373E" w:rsidR="00A72EFC" w:rsidRPr="00611A17" w:rsidRDefault="00A72EFC" w:rsidP="00A72EFC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11A17">
              <w:rPr>
                <w:iCs/>
                <w:sz w:val="24"/>
                <w:szCs w:val="24"/>
              </w:rPr>
              <w:t>8</w:t>
            </w:r>
          </w:p>
        </w:tc>
      </w:tr>
    </w:tbl>
    <w:p w14:paraId="7A8891E5" w14:textId="454C5EFE" w:rsidR="00ED755C" w:rsidRDefault="00ED755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966C707" w14:textId="7D03F00C" w:rsidR="00A72EFC" w:rsidRPr="00A72EFC" w:rsidRDefault="00A72EFC" w:rsidP="00A72EFC">
      <w:pPr>
        <w:pStyle w:val="Textvbloku"/>
        <w:ind w:left="283"/>
        <w:jc w:val="both"/>
        <w:rPr>
          <w:sz w:val="24"/>
          <w:szCs w:val="24"/>
          <w:u w:val="single"/>
        </w:rPr>
      </w:pPr>
      <w:r w:rsidRPr="00A72EFC">
        <w:rPr>
          <w:sz w:val="24"/>
          <w:szCs w:val="24"/>
          <w:u w:val="single"/>
        </w:rPr>
        <w:t>Řepa</w:t>
      </w:r>
      <w:r>
        <w:rPr>
          <w:sz w:val="24"/>
          <w:szCs w:val="24"/>
          <w:u w:val="single"/>
        </w:rPr>
        <w:t xml:space="preserve"> salátová</w:t>
      </w:r>
      <w:r w:rsidRPr="00A72EFC">
        <w:rPr>
          <w:sz w:val="24"/>
          <w:szCs w:val="24"/>
          <w:u w:val="single"/>
        </w:rPr>
        <w:t xml:space="preserve">, celer bulvový, tuřín, vodnice, rajče baklažán, petržel, pastinák, křen, čekanka, kozí brada </w:t>
      </w:r>
      <w:proofErr w:type="spellStart"/>
      <w:r w:rsidRPr="00A72EFC">
        <w:rPr>
          <w:sz w:val="24"/>
          <w:szCs w:val="24"/>
          <w:u w:val="single"/>
        </w:rPr>
        <w:t>pórolistá</w:t>
      </w:r>
      <w:proofErr w:type="spellEnd"/>
      <w:r w:rsidRPr="00A72EFC">
        <w:rPr>
          <w:sz w:val="24"/>
          <w:szCs w:val="24"/>
          <w:u w:val="single"/>
        </w:rPr>
        <w:t xml:space="preserve">, ředkvička, cibule kuchyňská, cibule šalotka, cibule </w:t>
      </w:r>
      <w:r>
        <w:rPr>
          <w:sz w:val="24"/>
          <w:szCs w:val="24"/>
          <w:u w:val="single"/>
        </w:rPr>
        <w:t>sečka</w:t>
      </w:r>
      <w:r w:rsidRPr="00A72EFC">
        <w:rPr>
          <w:sz w:val="24"/>
          <w:szCs w:val="24"/>
          <w:u w:val="single"/>
        </w:rPr>
        <w:t>:</w:t>
      </w:r>
    </w:p>
    <w:p w14:paraId="6C08C157" w14:textId="77777777" w:rsidR="00A72EFC" w:rsidRPr="00A72EFC" w:rsidRDefault="00A72EFC" w:rsidP="00A72EFC">
      <w:pPr>
        <w:pStyle w:val="Textvbloku"/>
        <w:ind w:left="283"/>
        <w:jc w:val="both"/>
        <w:rPr>
          <w:sz w:val="24"/>
          <w:szCs w:val="24"/>
        </w:rPr>
      </w:pPr>
      <w:r w:rsidRPr="00A72EFC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26EE09E3" w14:textId="77777777" w:rsidR="00A72EFC" w:rsidRPr="00A72EFC" w:rsidRDefault="00A72EFC" w:rsidP="00A72EFC">
      <w:pPr>
        <w:pStyle w:val="Textvbloku"/>
        <w:ind w:left="283"/>
        <w:jc w:val="both"/>
        <w:rPr>
          <w:sz w:val="24"/>
          <w:szCs w:val="24"/>
        </w:rPr>
      </w:pPr>
    </w:p>
    <w:p w14:paraId="14FE16DE" w14:textId="77777777" w:rsidR="00A72EFC" w:rsidRPr="00A72EFC" w:rsidRDefault="00A72EFC" w:rsidP="00A72EFC">
      <w:pPr>
        <w:pStyle w:val="Textvbloku"/>
        <w:ind w:left="283"/>
        <w:jc w:val="both"/>
        <w:rPr>
          <w:sz w:val="24"/>
          <w:szCs w:val="24"/>
          <w:u w:val="single"/>
        </w:rPr>
      </w:pPr>
      <w:r w:rsidRPr="00A72EFC">
        <w:rPr>
          <w:sz w:val="24"/>
          <w:szCs w:val="24"/>
          <w:u w:val="single"/>
        </w:rPr>
        <w:t>Okrasné rostliny ˃ 150 cm</w:t>
      </w:r>
    </w:p>
    <w:p w14:paraId="1DE50C5E" w14:textId="423190B6" w:rsidR="00A96A33" w:rsidRDefault="00A72EFC" w:rsidP="00A72EF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A72EFC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A72EFC">
        <w:rPr>
          <w:sz w:val="24"/>
          <w:szCs w:val="24"/>
        </w:rPr>
        <w:t>&lt; 30</w:t>
      </w:r>
      <w:proofErr w:type="gramEnd"/>
      <w:r w:rsidRPr="00A72EFC">
        <w:rPr>
          <w:sz w:val="24"/>
          <w:szCs w:val="24"/>
        </w:rPr>
        <w:t xml:space="preserve"> m.</w:t>
      </w:r>
    </w:p>
    <w:p w14:paraId="68B1916C" w14:textId="77777777" w:rsidR="00A72EFC" w:rsidRDefault="00A72EFC" w:rsidP="00A72EF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77777777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BDC46C2" w14:textId="48F6639A" w:rsidR="00A72EFC" w:rsidRDefault="00A72EFC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72EFC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povrchové vody aplikaci do plodin řepa salátová, celer bulvový, tuřín, vodnice, petržel, pastinák, křen, čekanka, kozí brada </w:t>
      </w:r>
      <w:proofErr w:type="spellStart"/>
      <w:r w:rsidRPr="00A72EFC">
        <w:rPr>
          <w:rFonts w:ascii="Times New Roman" w:hAnsi="Times New Roman"/>
          <w:sz w:val="24"/>
          <w:szCs w:val="24"/>
        </w:rPr>
        <w:t>pórolistá</w:t>
      </w:r>
      <w:proofErr w:type="spellEnd"/>
      <w:r w:rsidRPr="00A72EFC">
        <w:rPr>
          <w:rFonts w:ascii="Times New Roman" w:hAnsi="Times New Roman"/>
          <w:sz w:val="24"/>
          <w:szCs w:val="24"/>
        </w:rPr>
        <w:t xml:space="preserve">, ředkvička, cibule kuchyňská, cibule šalotka, cibule </w:t>
      </w:r>
      <w:r>
        <w:rPr>
          <w:rFonts w:ascii="Times New Roman" w:hAnsi="Times New Roman"/>
          <w:sz w:val="24"/>
          <w:szCs w:val="24"/>
        </w:rPr>
        <w:t>sečka</w:t>
      </w:r>
      <w:r w:rsidRPr="00A72EFC">
        <w:rPr>
          <w:rFonts w:ascii="Times New Roman" w:hAnsi="Times New Roman"/>
          <w:sz w:val="24"/>
          <w:szCs w:val="24"/>
        </w:rPr>
        <w:t>, rajče a baklažán.</w:t>
      </w:r>
    </w:p>
    <w:p w14:paraId="34ED4473" w14:textId="73FC29CB" w:rsidR="00F1398D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21253">
        <w:rPr>
          <w:rFonts w:ascii="Times New Roman" w:hAnsi="Times New Roman"/>
          <w:sz w:val="24"/>
          <w:szCs w:val="24"/>
        </w:rPr>
        <w:t>Ruční aplikace (např. ručními/zádovými postřikovači) není povolena.</w:t>
      </w:r>
    </w:p>
    <w:p w14:paraId="046464DA" w14:textId="27721848" w:rsidR="00D21253" w:rsidRP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21253">
        <w:rPr>
          <w:rFonts w:ascii="Times New Roman" w:hAnsi="Times New Roman"/>
          <w:sz w:val="24"/>
          <w:szCs w:val="24"/>
        </w:rPr>
        <w:lastRenderedPageBreak/>
        <w:t>Vstup na ošetřený pozemek za účelem kontroly provedení postřiku je možný až po zaschnutí postřiku s OOPP (ochranný oděv a uzavřená obuv).</w:t>
      </w:r>
    </w:p>
    <w:p w14:paraId="32752815" w14:textId="37FA01E3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21253">
        <w:rPr>
          <w:rFonts w:ascii="Times New Roman" w:hAnsi="Times New Roman"/>
          <w:sz w:val="24"/>
          <w:szCs w:val="24"/>
        </w:rPr>
        <w:t>Vstup na ošetřený pozemek za účelem provádění celodenních prací je možný až druhý den po aplikaci s OOPP (ochranné rukavice, dále pracovní oděv s dlouhými rukávy a nohavicemi, uzavřená obuv). Výjimkou je vstup na pozemek s ošetřenou čekankou, kde je nutné dodržet ochrannou lhůtu pro vstup 4 dny a s OOPP.</w:t>
      </w:r>
    </w:p>
    <w:p w14:paraId="40A6A24C" w14:textId="77777777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9EC54DE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486888">
        <w:rPr>
          <w:rFonts w:ascii="Times New Roman" w:hAnsi="Times New Roman"/>
          <w:sz w:val="24"/>
          <w:szCs w:val="24"/>
        </w:rPr>
        <w:t>Casino</w:t>
      </w:r>
      <w:proofErr w:type="spellEnd"/>
      <w:r w:rsidR="00486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888">
        <w:rPr>
          <w:rFonts w:ascii="Times New Roman" w:hAnsi="Times New Roman"/>
          <w:sz w:val="24"/>
          <w:szCs w:val="24"/>
        </w:rPr>
        <w:t>Royale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96A33">
        <w:rPr>
          <w:rFonts w:ascii="Times New Roman" w:hAnsi="Times New Roman"/>
          <w:sz w:val="24"/>
          <w:szCs w:val="24"/>
        </w:rPr>
        <w:t>5</w:t>
      </w:r>
      <w:r w:rsidR="00486888">
        <w:rPr>
          <w:rFonts w:ascii="Times New Roman" w:hAnsi="Times New Roman"/>
          <w:sz w:val="24"/>
          <w:szCs w:val="24"/>
        </w:rPr>
        <w:t>659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398B3E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486888">
        <w:rPr>
          <w:rFonts w:ascii="Times New Roman" w:hAnsi="Times New Roman"/>
          <w:sz w:val="24"/>
          <w:szCs w:val="24"/>
        </w:rPr>
        <w:t>Casino</w:t>
      </w:r>
      <w:proofErr w:type="spellEnd"/>
      <w:r w:rsidR="00486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888">
        <w:rPr>
          <w:rFonts w:ascii="Times New Roman" w:hAnsi="Times New Roman"/>
          <w:sz w:val="24"/>
          <w:szCs w:val="24"/>
        </w:rPr>
        <w:t>Royale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4B81" w14:textId="77777777" w:rsidR="00920717" w:rsidRDefault="00920717" w:rsidP="00CE12AE">
      <w:pPr>
        <w:spacing w:after="0" w:line="240" w:lineRule="auto"/>
      </w:pPr>
      <w:r>
        <w:separator/>
      </w:r>
    </w:p>
  </w:endnote>
  <w:endnote w:type="continuationSeparator" w:id="0">
    <w:p w14:paraId="30D35594" w14:textId="77777777" w:rsidR="00920717" w:rsidRDefault="0092071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FE07" w14:textId="77777777" w:rsidR="00920717" w:rsidRDefault="00920717" w:rsidP="00CE12AE">
      <w:pPr>
        <w:spacing w:after="0" w:line="240" w:lineRule="auto"/>
      </w:pPr>
      <w:r>
        <w:separator/>
      </w:r>
    </w:p>
  </w:footnote>
  <w:footnote w:type="continuationSeparator" w:id="0">
    <w:p w14:paraId="64F31069" w14:textId="77777777" w:rsidR="00920717" w:rsidRDefault="0092071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2023-05-30T11:49:00Z</dcterms:created>
  <dcterms:modified xsi:type="dcterms:W3CDTF">2023-06-08T12:48:00Z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