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EB1F1" w14:textId="77777777" w:rsidR="00DB1798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Heřmánkovice</w:t>
      </w:r>
    </w:p>
    <w:p w14:paraId="76FD4A28" w14:textId="77777777" w:rsidR="00DB1798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Zastupitelstvo obce</w:t>
      </w:r>
    </w:p>
    <w:p w14:paraId="6E12D80A" w14:textId="77777777" w:rsidR="00F40CAF" w:rsidRDefault="00F40CAF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3F6ED0B" w14:textId="77777777" w:rsidR="00D51D24" w:rsidRDefault="00DB1798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noProof/>
          <w:color w:val="0000FF"/>
          <w:sz w:val="21"/>
          <w:szCs w:val="21"/>
        </w:rPr>
        <w:drawing>
          <wp:inline distT="0" distB="0" distL="0" distR="0" wp14:anchorId="505AC842" wp14:editId="45C16BCF">
            <wp:extent cx="647700" cy="647700"/>
            <wp:effectExtent l="0" t="0" r="0" b="0"/>
            <wp:docPr id="1" name="Obrázek 1" descr="znak obce Heřmánkovice">
              <a:hlinkClick xmlns:a="http://schemas.openxmlformats.org/drawingml/2006/main" r:id="rId8" tooltip="&quot;znak obce Heřmánkov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 Heřmánkov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0B11D" w14:textId="77777777" w:rsidR="00F40CAF" w:rsidRPr="00DB1798" w:rsidRDefault="00F40CAF" w:rsidP="00DB179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6C77183" w14:textId="77777777" w:rsidR="0024722A" w:rsidRPr="00DB1798" w:rsidRDefault="00D51D24" w:rsidP="00DB1798">
      <w:pPr>
        <w:spacing w:line="276" w:lineRule="auto"/>
        <w:jc w:val="center"/>
        <w:rPr>
          <w:rFonts w:ascii="Arial" w:hAnsi="Arial" w:cs="Arial"/>
          <w:b/>
        </w:rPr>
      </w:pPr>
      <w:r w:rsidRPr="00DB1798">
        <w:rPr>
          <w:rFonts w:ascii="Arial" w:hAnsi="Arial" w:cs="Arial"/>
          <w:b/>
        </w:rPr>
        <w:t xml:space="preserve">Obecně závazná vyhláška </w:t>
      </w:r>
    </w:p>
    <w:p w14:paraId="1C5A8F7A" w14:textId="77777777" w:rsidR="0024722A" w:rsidRPr="00DB179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B1798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B1798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B1798">
        <w:rPr>
          <w:rFonts w:ascii="Arial" w:hAnsi="Arial" w:cs="Arial"/>
          <w:b/>
          <w:color w:val="000000"/>
          <w:szCs w:val="24"/>
        </w:rPr>
        <w:t>odpadového hospodářství</w:t>
      </w:r>
      <w:r w:rsidRPr="00DB1798">
        <w:rPr>
          <w:rFonts w:ascii="Arial" w:hAnsi="Arial" w:cs="Arial"/>
          <w:b/>
          <w:color w:val="000000"/>
          <w:szCs w:val="24"/>
        </w:rPr>
        <w:t xml:space="preserve"> </w:t>
      </w:r>
    </w:p>
    <w:p w14:paraId="593EE97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8FC2F6" w14:textId="3E6A6F7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Heřmánkovice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467BA">
        <w:rPr>
          <w:rFonts w:ascii="Arial" w:hAnsi="Arial" w:cs="Arial"/>
          <w:sz w:val="22"/>
          <w:szCs w:val="22"/>
        </w:rPr>
        <w:t>9. září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</w:t>
      </w:r>
      <w:r w:rsidR="00F40CAF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3748CE" w14:textId="77777777" w:rsidR="0024722A" w:rsidRPr="00FB6AE5" w:rsidRDefault="0024722A" w:rsidP="00831C07">
      <w:pPr>
        <w:rPr>
          <w:rFonts w:ascii="Arial" w:hAnsi="Arial" w:cs="Arial"/>
          <w:b/>
          <w:sz w:val="22"/>
          <w:szCs w:val="22"/>
        </w:rPr>
      </w:pPr>
    </w:p>
    <w:p w14:paraId="36F1073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AD9C1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4B296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07F391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Heřmánkovice.</w:t>
      </w:r>
    </w:p>
    <w:p w14:paraId="5BBE12C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E42E9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DDC5B2E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2C502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46CBA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40E20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71F1BE" w14:textId="77777777" w:rsidR="00012F79" w:rsidRDefault="00012F79" w:rsidP="00831C07">
      <w:pPr>
        <w:rPr>
          <w:rFonts w:ascii="Arial" w:hAnsi="Arial" w:cs="Arial"/>
          <w:b/>
          <w:sz w:val="22"/>
          <w:szCs w:val="22"/>
        </w:rPr>
      </w:pPr>
    </w:p>
    <w:p w14:paraId="5D54013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ABF196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03E8BB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A83AD4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89C1C12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7EDA1C0" w14:textId="77777777"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Biologick</w:t>
      </w:r>
      <w:r w:rsidR="001476FD" w:rsidRPr="002F1111">
        <w:rPr>
          <w:rFonts w:ascii="Arial" w:hAnsi="Arial" w:cs="Arial"/>
          <w:bCs/>
          <w:color w:val="000000"/>
        </w:rPr>
        <w:t>é</w:t>
      </w:r>
      <w:r w:rsidRPr="002F1111">
        <w:rPr>
          <w:rFonts w:ascii="Arial" w:hAnsi="Arial" w:cs="Arial"/>
          <w:bCs/>
          <w:color w:val="000000"/>
        </w:rPr>
        <w:t xml:space="preserve"> odpady</w:t>
      </w:r>
      <w:r w:rsidR="00DB1798" w:rsidRPr="002F1111">
        <w:rPr>
          <w:rFonts w:ascii="Arial" w:hAnsi="Arial" w:cs="Arial"/>
          <w:bCs/>
          <w:color w:val="000000"/>
        </w:rPr>
        <w:t xml:space="preserve"> rostlinného původu</w:t>
      </w:r>
      <w:r w:rsidRPr="002F1111">
        <w:rPr>
          <w:rFonts w:ascii="Arial" w:hAnsi="Arial" w:cs="Arial"/>
          <w:bCs/>
        </w:rPr>
        <w:t>,</w:t>
      </w:r>
    </w:p>
    <w:p w14:paraId="526319F7" w14:textId="77777777" w:rsidR="009B77CC" w:rsidRPr="002F11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Papír,</w:t>
      </w:r>
    </w:p>
    <w:p w14:paraId="3EE8030E" w14:textId="77777777" w:rsidR="009B77CC" w:rsidRPr="002F111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Plasty</w:t>
      </w:r>
      <w:r w:rsidR="00745703" w:rsidRPr="002F1111">
        <w:rPr>
          <w:rFonts w:ascii="Arial" w:hAnsi="Arial" w:cs="Arial"/>
          <w:bCs/>
          <w:color w:val="000000"/>
        </w:rPr>
        <w:t xml:space="preserve"> včetně PET lahví</w:t>
      </w:r>
      <w:r w:rsidR="00DB1798" w:rsidRPr="002F1111">
        <w:rPr>
          <w:rFonts w:ascii="Arial" w:hAnsi="Arial" w:cs="Arial"/>
          <w:bCs/>
          <w:color w:val="000000"/>
        </w:rPr>
        <w:t xml:space="preserve"> (dále jen „plasty“)</w:t>
      </w:r>
      <w:r w:rsidRPr="002F1111">
        <w:rPr>
          <w:rFonts w:ascii="Arial" w:hAnsi="Arial" w:cs="Arial"/>
          <w:bCs/>
          <w:color w:val="000000"/>
        </w:rPr>
        <w:t>,</w:t>
      </w:r>
    </w:p>
    <w:p w14:paraId="65CA0042" w14:textId="77777777"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</w:t>
      </w:r>
      <w:r w:rsidR="00DB1798" w:rsidRPr="002F1111">
        <w:rPr>
          <w:rFonts w:ascii="Arial" w:hAnsi="Arial" w:cs="Arial"/>
          <w:bCs/>
          <w:color w:val="000000"/>
        </w:rPr>
        <w:t xml:space="preserve"> čiré</w:t>
      </w:r>
      <w:r w:rsidRPr="002F1111">
        <w:rPr>
          <w:rFonts w:ascii="Arial" w:hAnsi="Arial" w:cs="Arial"/>
          <w:bCs/>
          <w:color w:val="000000"/>
        </w:rPr>
        <w:t>,</w:t>
      </w:r>
    </w:p>
    <w:p w14:paraId="1178CB75" w14:textId="77777777" w:rsidR="00DB1798" w:rsidRPr="002F1111" w:rsidRDefault="00DB17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 barevné,</w:t>
      </w:r>
    </w:p>
    <w:p w14:paraId="6221F50F" w14:textId="77777777" w:rsidR="009B77CC" w:rsidRPr="002F111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Kovy,</w:t>
      </w:r>
    </w:p>
    <w:p w14:paraId="4BC32B12" w14:textId="77777777" w:rsidR="0024722A" w:rsidRPr="002F1111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2F1111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9583D97" w14:textId="77777777" w:rsidR="00053446" w:rsidRPr="002F1111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2F1111">
        <w:rPr>
          <w:rFonts w:ascii="Arial" w:hAnsi="Arial" w:cs="Arial"/>
          <w:bCs/>
          <w:color w:val="000000"/>
          <w:sz w:val="22"/>
          <w:szCs w:val="22"/>
        </w:rPr>
        <w:lastRenderedPageBreak/>
        <w:t>Objemný odpad,</w:t>
      </w:r>
    </w:p>
    <w:p w14:paraId="693F7A7B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t>Jedlé oleje a tuky,</w:t>
      </w:r>
    </w:p>
    <w:p w14:paraId="434ABC77" w14:textId="77777777" w:rsidR="00F40CAF" w:rsidRPr="002F1111" w:rsidRDefault="00F40CAF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Oděvy a textil,</w:t>
      </w:r>
    </w:p>
    <w:p w14:paraId="252CFDC5" w14:textId="77777777" w:rsidR="00A342C0" w:rsidRPr="002F1111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t>Směsný komunální odpad</w:t>
      </w:r>
      <w:r w:rsidR="00DB1798" w:rsidRPr="002F1111">
        <w:rPr>
          <w:rFonts w:ascii="Arial" w:hAnsi="Arial" w:cs="Arial"/>
          <w:iCs/>
          <w:sz w:val="22"/>
          <w:szCs w:val="22"/>
        </w:rPr>
        <w:t>.</w:t>
      </w:r>
    </w:p>
    <w:p w14:paraId="4A102E8E" w14:textId="77777777" w:rsidR="00DB1798" w:rsidRPr="002F1111" w:rsidRDefault="00DB1798" w:rsidP="00831C07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69D6DC11" w14:textId="77777777" w:rsidR="00262D6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sz w:val="22"/>
          <w:szCs w:val="22"/>
        </w:rPr>
        <w:t>Směsný</w:t>
      </w:r>
      <w:r w:rsidR="00FB36A3" w:rsidRPr="002F1111">
        <w:rPr>
          <w:rFonts w:ascii="Arial" w:hAnsi="Arial" w:cs="Arial"/>
          <w:sz w:val="22"/>
          <w:szCs w:val="22"/>
        </w:rPr>
        <w:t xml:space="preserve">m </w:t>
      </w:r>
      <w:r w:rsidR="00795009" w:rsidRPr="002F1111">
        <w:rPr>
          <w:rFonts w:ascii="Arial" w:hAnsi="Arial" w:cs="Arial"/>
          <w:sz w:val="22"/>
          <w:szCs w:val="22"/>
        </w:rPr>
        <w:t>komunální</w:t>
      </w:r>
      <w:r w:rsidR="00FB36A3" w:rsidRPr="002F1111">
        <w:rPr>
          <w:rFonts w:ascii="Arial" w:hAnsi="Arial" w:cs="Arial"/>
          <w:sz w:val="22"/>
          <w:szCs w:val="22"/>
        </w:rPr>
        <w:t>m</w:t>
      </w:r>
      <w:r w:rsidR="00795009" w:rsidRPr="002F1111">
        <w:rPr>
          <w:rFonts w:ascii="Arial" w:hAnsi="Arial" w:cs="Arial"/>
          <w:sz w:val="22"/>
          <w:szCs w:val="22"/>
        </w:rPr>
        <w:t xml:space="preserve"> </w:t>
      </w:r>
      <w:r w:rsidRPr="002F1111">
        <w:rPr>
          <w:rFonts w:ascii="Arial" w:hAnsi="Arial" w:cs="Arial"/>
          <w:sz w:val="22"/>
          <w:szCs w:val="22"/>
        </w:rPr>
        <w:t>odpad</w:t>
      </w:r>
      <w:r w:rsidR="00FB36A3" w:rsidRPr="002F1111">
        <w:rPr>
          <w:rFonts w:ascii="Arial" w:hAnsi="Arial" w:cs="Arial"/>
          <w:sz w:val="22"/>
          <w:szCs w:val="22"/>
        </w:rPr>
        <w:t>em</w:t>
      </w:r>
      <w:r w:rsidRPr="002F1111">
        <w:rPr>
          <w:rFonts w:ascii="Arial" w:hAnsi="Arial" w:cs="Arial"/>
          <w:sz w:val="22"/>
          <w:szCs w:val="22"/>
        </w:rPr>
        <w:t xml:space="preserve"> </w:t>
      </w:r>
      <w:r w:rsidR="00FB36A3" w:rsidRPr="002F1111">
        <w:rPr>
          <w:rFonts w:ascii="Arial" w:hAnsi="Arial" w:cs="Arial"/>
          <w:sz w:val="22"/>
          <w:szCs w:val="22"/>
        </w:rPr>
        <w:t>se rozumí</w:t>
      </w:r>
      <w:r w:rsidRPr="002F1111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F1111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F1111">
        <w:rPr>
          <w:rFonts w:ascii="Arial" w:hAnsi="Arial" w:cs="Arial"/>
          <w:sz w:val="22"/>
          <w:szCs w:val="22"/>
        </w:rPr>
        <w:t>po</w:t>
      </w:r>
      <w:r w:rsidR="00FB6AE5" w:rsidRPr="002F1111">
        <w:rPr>
          <w:rFonts w:ascii="Arial" w:hAnsi="Arial" w:cs="Arial"/>
          <w:sz w:val="22"/>
          <w:szCs w:val="22"/>
        </w:rPr>
        <w:t xml:space="preserve">dle </w:t>
      </w:r>
      <w:r w:rsidRPr="002F1111">
        <w:rPr>
          <w:rFonts w:ascii="Arial" w:hAnsi="Arial" w:cs="Arial"/>
          <w:sz w:val="22"/>
          <w:szCs w:val="22"/>
        </w:rPr>
        <w:t>odst</w:t>
      </w:r>
      <w:r w:rsidR="00FB36A3" w:rsidRPr="002F1111">
        <w:rPr>
          <w:rFonts w:ascii="Arial" w:hAnsi="Arial" w:cs="Arial"/>
          <w:sz w:val="22"/>
          <w:szCs w:val="22"/>
        </w:rPr>
        <w:t>avce</w:t>
      </w:r>
      <w:r w:rsidR="00DB1798" w:rsidRPr="002F1111">
        <w:rPr>
          <w:rFonts w:ascii="Arial" w:hAnsi="Arial" w:cs="Arial"/>
          <w:sz w:val="22"/>
          <w:szCs w:val="22"/>
        </w:rPr>
        <w:t xml:space="preserve"> 1 písm. a) </w:t>
      </w:r>
      <w:r w:rsidR="00A342C0" w:rsidRPr="002F1111">
        <w:rPr>
          <w:rFonts w:ascii="Arial" w:hAnsi="Arial" w:cs="Arial"/>
          <w:sz w:val="22"/>
          <w:szCs w:val="22"/>
        </w:rPr>
        <w:t>a</w:t>
      </w:r>
      <w:r w:rsidR="00DB1798" w:rsidRPr="002F1111">
        <w:rPr>
          <w:rFonts w:ascii="Arial" w:hAnsi="Arial" w:cs="Arial"/>
          <w:sz w:val="22"/>
          <w:szCs w:val="22"/>
        </w:rPr>
        <w:t>ž</w:t>
      </w:r>
      <w:r w:rsidR="00A342C0" w:rsidRPr="002F1111">
        <w:rPr>
          <w:rFonts w:ascii="Arial" w:hAnsi="Arial" w:cs="Arial"/>
          <w:sz w:val="22"/>
          <w:szCs w:val="22"/>
        </w:rPr>
        <w:t xml:space="preserve"> </w:t>
      </w:r>
      <w:r w:rsidR="00F40CAF">
        <w:rPr>
          <w:rFonts w:ascii="Arial" w:hAnsi="Arial" w:cs="Arial"/>
          <w:sz w:val="22"/>
          <w:szCs w:val="22"/>
        </w:rPr>
        <w:t>j</w:t>
      </w:r>
      <w:r w:rsidR="00A342C0" w:rsidRPr="002F1111">
        <w:rPr>
          <w:rFonts w:ascii="Arial" w:hAnsi="Arial" w:cs="Arial"/>
          <w:sz w:val="22"/>
          <w:szCs w:val="22"/>
        </w:rPr>
        <w:t>)</w:t>
      </w:r>
      <w:r w:rsidRPr="002F1111">
        <w:rPr>
          <w:rFonts w:ascii="Arial" w:hAnsi="Arial" w:cs="Arial"/>
          <w:sz w:val="22"/>
          <w:szCs w:val="22"/>
        </w:rPr>
        <w:t>.</w:t>
      </w:r>
    </w:p>
    <w:p w14:paraId="4A56F007" w14:textId="77777777" w:rsidR="00096A54" w:rsidRPr="002F1111" w:rsidRDefault="00096A54" w:rsidP="00096A5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F295E72" w14:textId="77777777" w:rsidR="00096A54" w:rsidRDefault="00096A54" w:rsidP="00096A5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1CEFCFAE" w14:textId="77777777" w:rsidR="00553B78" w:rsidRPr="002F1111" w:rsidRDefault="00553B78" w:rsidP="00831C0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30CC493" w14:textId="77777777" w:rsidR="00C56F13" w:rsidRDefault="00C56F13">
      <w:pPr>
        <w:jc w:val="center"/>
        <w:rPr>
          <w:rFonts w:ascii="Arial" w:hAnsi="Arial" w:cs="Arial"/>
          <w:b/>
          <w:sz w:val="22"/>
          <w:szCs w:val="22"/>
        </w:rPr>
      </w:pPr>
    </w:p>
    <w:p w14:paraId="36FF0560" w14:textId="6A0F2BB6" w:rsidR="0024722A" w:rsidRPr="002F1111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1111">
        <w:rPr>
          <w:rFonts w:ascii="Arial" w:hAnsi="Arial" w:cs="Arial"/>
          <w:b/>
          <w:sz w:val="22"/>
          <w:szCs w:val="22"/>
        </w:rPr>
        <w:t>Čl. 3</w:t>
      </w:r>
    </w:p>
    <w:p w14:paraId="707E126F" w14:textId="77777777" w:rsidR="00074576" w:rsidRPr="002F1111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F1111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F960F02" w14:textId="77777777" w:rsidR="00223F72" w:rsidRPr="002F1111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ACA7BBF" w14:textId="1D668DA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</w:t>
      </w:r>
      <w:r w:rsidR="00831C07">
        <w:rPr>
          <w:rFonts w:ascii="Arial" w:hAnsi="Arial" w:cs="Arial"/>
          <w:sz w:val="22"/>
          <w:szCs w:val="22"/>
        </w:rPr>
        <w:t xml:space="preserve"> čiré, sklo barevné</w:t>
      </w:r>
      <w:r>
        <w:rPr>
          <w:rFonts w:ascii="Arial" w:hAnsi="Arial" w:cs="Arial"/>
          <w:sz w:val="22"/>
          <w:szCs w:val="22"/>
        </w:rPr>
        <w:t>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DB1798">
        <w:rPr>
          <w:rFonts w:ascii="Arial" w:hAnsi="Arial" w:cs="Arial"/>
          <w:sz w:val="22"/>
          <w:szCs w:val="22"/>
        </w:rPr>
        <w:t xml:space="preserve"> rostlinného původu</w:t>
      </w:r>
      <w:r w:rsidR="00181515">
        <w:rPr>
          <w:rFonts w:ascii="Arial" w:hAnsi="Arial" w:cs="Arial"/>
          <w:sz w:val="22"/>
          <w:szCs w:val="22"/>
        </w:rPr>
        <w:t>, jedlé oleje</w:t>
      </w:r>
      <w:r w:rsidR="00831C07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>a</w:t>
      </w:r>
      <w:r w:rsidR="00831C07">
        <w:rPr>
          <w:rFonts w:ascii="Arial" w:hAnsi="Arial" w:cs="Arial"/>
          <w:sz w:val="22"/>
          <w:szCs w:val="22"/>
        </w:rPr>
        <w:t xml:space="preserve"> </w:t>
      </w:r>
      <w:r w:rsidR="00181515">
        <w:rPr>
          <w:rFonts w:ascii="Arial" w:hAnsi="Arial" w:cs="Arial"/>
          <w:sz w:val="22"/>
          <w:szCs w:val="22"/>
        </w:rPr>
        <w:t>tuky</w:t>
      </w:r>
      <w:r w:rsidR="00096A54">
        <w:rPr>
          <w:rFonts w:ascii="Arial" w:hAnsi="Arial" w:cs="Arial"/>
          <w:sz w:val="22"/>
          <w:szCs w:val="22"/>
        </w:rPr>
        <w:t>,</w:t>
      </w:r>
      <w:r w:rsidR="00831C07">
        <w:rPr>
          <w:rFonts w:ascii="Arial" w:hAnsi="Arial" w:cs="Arial"/>
          <w:sz w:val="22"/>
          <w:szCs w:val="22"/>
        </w:rPr>
        <w:t xml:space="preserve"> </w:t>
      </w:r>
      <w:r w:rsidR="00096A54">
        <w:rPr>
          <w:rFonts w:ascii="Arial" w:hAnsi="Arial" w:cs="Arial"/>
          <w:sz w:val="22"/>
          <w:szCs w:val="22"/>
        </w:rPr>
        <w:t>oděvy a textil</w:t>
      </w:r>
      <w:r w:rsidR="008A3F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</w:t>
      </w:r>
      <w:r w:rsidR="00DB1798">
        <w:rPr>
          <w:rFonts w:ascii="Arial" w:hAnsi="Arial" w:cs="Arial"/>
          <w:sz w:val="22"/>
          <w:szCs w:val="22"/>
        </w:rPr>
        <w:t>erými jsou kontejnery a velkoobjemové kontejnery.</w:t>
      </w:r>
    </w:p>
    <w:p w14:paraId="34FA14D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8FD8C3C" w14:textId="77777777" w:rsidR="002A3581" w:rsidRDefault="002A3581" w:rsidP="00DB179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DB1798">
        <w:rPr>
          <w:rFonts w:ascii="Arial" w:hAnsi="Arial" w:cs="Arial"/>
          <w:sz w:val="22"/>
          <w:szCs w:val="22"/>
        </w:rPr>
        <w:t>jsou umístěny na stanovištích uvedených na webových stránkách obce</w:t>
      </w:r>
      <w:r w:rsidR="00096A54">
        <w:rPr>
          <w:rFonts w:ascii="Arial" w:hAnsi="Arial" w:cs="Arial"/>
          <w:sz w:val="22"/>
          <w:szCs w:val="22"/>
        </w:rPr>
        <w:t xml:space="preserve"> Heřmánkovice</w:t>
      </w:r>
      <w:r w:rsidR="00DB179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DB1798">
        <w:rPr>
          <w:rFonts w:ascii="Arial" w:hAnsi="Arial" w:cs="Arial"/>
          <w:sz w:val="22"/>
          <w:szCs w:val="22"/>
        </w:rPr>
        <w:t>.</w:t>
      </w:r>
    </w:p>
    <w:p w14:paraId="31F9D2B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816305D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DB1798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664A573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D00EDB6" w14:textId="68AC8AD2" w:rsidR="00745703" w:rsidRPr="002F1111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Biologick</w:t>
      </w:r>
      <w:r w:rsidR="001476FD" w:rsidRPr="002F1111">
        <w:rPr>
          <w:rFonts w:ascii="Arial" w:hAnsi="Arial" w:cs="Arial"/>
          <w:bCs/>
          <w:color w:val="000000"/>
        </w:rPr>
        <w:t>é</w:t>
      </w:r>
      <w:r w:rsidR="00DB2051" w:rsidRPr="002F1111">
        <w:rPr>
          <w:rFonts w:ascii="Arial" w:hAnsi="Arial" w:cs="Arial"/>
          <w:bCs/>
          <w:color w:val="000000"/>
        </w:rPr>
        <w:t xml:space="preserve"> </w:t>
      </w:r>
      <w:r w:rsidRPr="002F1111">
        <w:rPr>
          <w:rFonts w:ascii="Arial" w:hAnsi="Arial" w:cs="Arial"/>
          <w:bCs/>
          <w:color w:val="000000"/>
        </w:rPr>
        <w:t>odpady</w:t>
      </w:r>
      <w:r w:rsidR="00DB1798" w:rsidRPr="002F1111">
        <w:rPr>
          <w:rFonts w:ascii="Arial" w:hAnsi="Arial" w:cs="Arial"/>
          <w:bCs/>
          <w:color w:val="000000"/>
        </w:rPr>
        <w:t xml:space="preserve"> rostlinného původu, velkoobjemový kontejner</w:t>
      </w:r>
      <w:r w:rsidR="000C5A26">
        <w:rPr>
          <w:rFonts w:ascii="Arial" w:hAnsi="Arial" w:cs="Arial"/>
          <w:bCs/>
          <w:color w:val="000000"/>
        </w:rPr>
        <w:t xml:space="preserve"> – barva zelená</w:t>
      </w:r>
      <w:r w:rsidR="00DB1798" w:rsidRPr="002F1111">
        <w:rPr>
          <w:rFonts w:ascii="Arial" w:hAnsi="Arial" w:cs="Arial"/>
          <w:bCs/>
          <w:color w:val="000000"/>
        </w:rPr>
        <w:t>,</w:t>
      </w:r>
    </w:p>
    <w:p w14:paraId="37AC4E50" w14:textId="77777777" w:rsidR="0024722A" w:rsidRPr="002F11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P</w:t>
      </w:r>
      <w:r w:rsidR="00DB1798" w:rsidRPr="002F1111">
        <w:rPr>
          <w:rFonts w:ascii="Arial" w:hAnsi="Arial" w:cs="Arial"/>
          <w:bCs/>
          <w:color w:val="000000"/>
        </w:rPr>
        <w:t>apír, barva modrá</w:t>
      </w:r>
      <w:r w:rsidR="0024722A" w:rsidRPr="002F1111">
        <w:rPr>
          <w:rFonts w:ascii="Arial" w:hAnsi="Arial" w:cs="Arial"/>
          <w:bCs/>
          <w:color w:val="000000"/>
        </w:rPr>
        <w:t>,</w:t>
      </w:r>
    </w:p>
    <w:p w14:paraId="68451BD1" w14:textId="75159915" w:rsidR="00A94551" w:rsidRPr="002F1111" w:rsidRDefault="00DB179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1111">
        <w:rPr>
          <w:rFonts w:ascii="Arial" w:hAnsi="Arial" w:cs="Arial"/>
          <w:bCs/>
          <w:color w:val="000000"/>
        </w:rPr>
        <w:t>Plasty</w:t>
      </w:r>
      <w:r w:rsidR="00A94551" w:rsidRPr="002F1111">
        <w:rPr>
          <w:rFonts w:ascii="Arial" w:hAnsi="Arial" w:cs="Arial"/>
          <w:bCs/>
          <w:color w:val="000000"/>
        </w:rPr>
        <w:t xml:space="preserve">, </w:t>
      </w:r>
      <w:r w:rsidR="00A94551" w:rsidRPr="002F1111">
        <w:rPr>
          <w:rFonts w:ascii="Arial" w:hAnsi="Arial" w:cs="Arial"/>
          <w:bCs/>
        </w:rPr>
        <w:t>barva</w:t>
      </w:r>
      <w:r w:rsidR="002A3581" w:rsidRPr="002F1111">
        <w:rPr>
          <w:rFonts w:ascii="Arial" w:hAnsi="Arial" w:cs="Arial"/>
          <w:bCs/>
        </w:rPr>
        <w:t xml:space="preserve"> žlutá</w:t>
      </w:r>
      <w:r w:rsidR="000C5A26">
        <w:rPr>
          <w:rFonts w:ascii="Arial" w:hAnsi="Arial" w:cs="Arial"/>
          <w:bCs/>
        </w:rPr>
        <w:t>, případně černý se žlutým víkem</w:t>
      </w:r>
      <w:r w:rsidRPr="002F1111">
        <w:rPr>
          <w:rFonts w:ascii="Arial" w:hAnsi="Arial" w:cs="Arial"/>
          <w:bCs/>
        </w:rPr>
        <w:t>,</w:t>
      </w:r>
    </w:p>
    <w:p w14:paraId="3E490914" w14:textId="77777777" w:rsidR="0024722A" w:rsidRPr="002F111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</w:t>
      </w:r>
      <w:r w:rsidR="0024722A" w:rsidRPr="002F1111">
        <w:rPr>
          <w:rFonts w:ascii="Arial" w:hAnsi="Arial" w:cs="Arial"/>
          <w:bCs/>
          <w:color w:val="000000"/>
        </w:rPr>
        <w:t>klo</w:t>
      </w:r>
      <w:r w:rsidR="00DB1798" w:rsidRPr="002F1111">
        <w:rPr>
          <w:rFonts w:ascii="Arial" w:hAnsi="Arial" w:cs="Arial"/>
          <w:bCs/>
          <w:color w:val="000000"/>
        </w:rPr>
        <w:t xml:space="preserve"> čiré, barva bílá,</w:t>
      </w:r>
    </w:p>
    <w:p w14:paraId="12EE0A2D" w14:textId="77777777" w:rsidR="00DB1798" w:rsidRPr="002F1111" w:rsidRDefault="00DB179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F1111">
        <w:rPr>
          <w:rFonts w:ascii="Arial" w:hAnsi="Arial" w:cs="Arial"/>
          <w:bCs/>
          <w:color w:val="000000"/>
        </w:rPr>
        <w:t>Sklo barevné, barva zelená,</w:t>
      </w:r>
    </w:p>
    <w:p w14:paraId="510925E1" w14:textId="77777777" w:rsidR="00745703" w:rsidRPr="002F1111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F1111">
        <w:rPr>
          <w:rFonts w:ascii="Arial" w:hAnsi="Arial" w:cs="Arial"/>
          <w:bCs/>
          <w:color w:val="000000"/>
        </w:rPr>
        <w:t>K</w:t>
      </w:r>
      <w:r w:rsidR="00DB1798" w:rsidRPr="002F1111">
        <w:rPr>
          <w:rFonts w:ascii="Arial" w:hAnsi="Arial" w:cs="Arial"/>
          <w:bCs/>
          <w:color w:val="000000"/>
        </w:rPr>
        <w:t>ovy, barva hnědá,</w:t>
      </w:r>
    </w:p>
    <w:p w14:paraId="66FF1828" w14:textId="47BC186B"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2F1111">
        <w:rPr>
          <w:rFonts w:ascii="Arial" w:hAnsi="Arial" w:cs="Arial"/>
          <w:iCs/>
          <w:sz w:val="22"/>
          <w:szCs w:val="22"/>
        </w:rPr>
        <w:t>Jedlé oleje a tuky</w:t>
      </w:r>
      <w:r w:rsidR="00DB1798" w:rsidRPr="002F1111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DB1798" w:rsidRPr="002F1111">
        <w:rPr>
          <w:rFonts w:ascii="Arial" w:hAnsi="Arial" w:cs="Arial"/>
          <w:iCs/>
          <w:sz w:val="22"/>
          <w:szCs w:val="22"/>
        </w:rPr>
        <w:t>, barva červená</w:t>
      </w:r>
      <w:r w:rsidR="00096A54">
        <w:rPr>
          <w:rFonts w:ascii="Arial" w:hAnsi="Arial" w:cs="Arial"/>
          <w:iCs/>
          <w:sz w:val="22"/>
          <w:szCs w:val="22"/>
        </w:rPr>
        <w:t>,</w:t>
      </w:r>
      <w:r w:rsidR="000C5A26">
        <w:rPr>
          <w:rFonts w:ascii="Arial" w:hAnsi="Arial" w:cs="Arial"/>
          <w:iCs/>
          <w:sz w:val="22"/>
          <w:szCs w:val="22"/>
        </w:rPr>
        <w:t xml:space="preserve"> případně je možné odložit na nádobu směsného komunálního odpadu při jeho svozu v čiré plastové lahvi, </w:t>
      </w:r>
    </w:p>
    <w:p w14:paraId="634E9431" w14:textId="00AB9FB6" w:rsidR="00096A54" w:rsidRPr="002F1111" w:rsidRDefault="00096A5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Oděvy a textil – barva </w:t>
      </w:r>
      <w:r w:rsidR="000C5A26">
        <w:rPr>
          <w:rFonts w:ascii="Arial" w:hAnsi="Arial" w:cs="Arial"/>
          <w:iCs/>
          <w:sz w:val="22"/>
          <w:szCs w:val="22"/>
        </w:rPr>
        <w:t>šedá</w:t>
      </w:r>
    </w:p>
    <w:p w14:paraId="5897F796" w14:textId="77777777" w:rsidR="0024722A" w:rsidRDefault="0024722A" w:rsidP="008A3FB3">
      <w:pPr>
        <w:rPr>
          <w:rFonts w:ascii="Arial" w:hAnsi="Arial" w:cs="Arial"/>
          <w:i/>
          <w:iCs/>
          <w:sz w:val="22"/>
          <w:szCs w:val="22"/>
        </w:rPr>
      </w:pPr>
    </w:p>
    <w:p w14:paraId="590222E3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2013FC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4F94D1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E499966" w14:textId="77777777" w:rsidR="003A0DB1" w:rsidRDefault="003A0DB1" w:rsidP="00831C07">
      <w:pPr>
        <w:pStyle w:val="Default"/>
      </w:pPr>
    </w:p>
    <w:p w14:paraId="143D620A" w14:textId="77777777" w:rsidR="00C56F13" w:rsidRDefault="00C56F1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88EC948" w14:textId="7BDE24F9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8CC7FEF" w14:textId="23016055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096A54">
        <w:rPr>
          <w:rFonts w:ascii="Arial" w:hAnsi="Arial" w:cs="Arial"/>
          <w:b/>
          <w:bCs/>
          <w:sz w:val="22"/>
          <w:szCs w:val="22"/>
          <w:u w:val="none"/>
        </w:rPr>
        <w:t>Sběr a 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2F111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1854D72F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D9A3D9" w14:textId="10C92910" w:rsidR="00096A54" w:rsidRPr="00831C07" w:rsidRDefault="00096A54" w:rsidP="00096A54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 a 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F1111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F1111">
        <w:rPr>
          <w:rFonts w:ascii="Arial" w:hAnsi="Arial" w:cs="Arial"/>
          <w:sz w:val="22"/>
          <w:szCs w:val="22"/>
        </w:rPr>
        <w:t xml:space="preserve"> jsou </w:t>
      </w:r>
      <w:r w:rsidR="002F1111" w:rsidRPr="002F1111">
        <w:rPr>
          <w:rFonts w:ascii="Arial" w:hAnsi="Arial" w:cs="Arial"/>
          <w:sz w:val="22"/>
          <w:szCs w:val="22"/>
        </w:rPr>
        <w:t>zveřejňovány</w:t>
      </w:r>
      <w:r w:rsidR="002F1111" w:rsidRPr="002F1111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2F1111">
        <w:rPr>
          <w:rFonts w:ascii="Arial" w:hAnsi="Arial" w:cs="Arial"/>
          <w:iCs/>
          <w:sz w:val="22"/>
          <w:szCs w:val="22"/>
        </w:rPr>
        <w:t>na úřední desce obecního úřadu</w:t>
      </w:r>
      <w:r w:rsidR="000C5A26">
        <w:rPr>
          <w:rFonts w:ascii="Arial" w:hAnsi="Arial" w:cs="Arial"/>
          <w:iCs/>
          <w:sz w:val="22"/>
          <w:szCs w:val="22"/>
        </w:rPr>
        <w:t xml:space="preserve">, na webových stránkách obce, v obecním občasníku Heřmánek, popř. </w:t>
      </w:r>
      <w:r w:rsidR="0024722A" w:rsidRPr="002F1111">
        <w:rPr>
          <w:rFonts w:ascii="Arial" w:hAnsi="Arial" w:cs="Arial"/>
          <w:iCs/>
          <w:sz w:val="22"/>
          <w:szCs w:val="22"/>
        </w:rPr>
        <w:t>místním rozhlase</w:t>
      </w:r>
      <w:r w:rsidR="002F1111" w:rsidRPr="002F1111">
        <w:rPr>
          <w:rFonts w:ascii="Arial" w:hAnsi="Arial" w:cs="Arial"/>
          <w:iCs/>
          <w:sz w:val="22"/>
          <w:szCs w:val="22"/>
        </w:rPr>
        <w:t>m.</w:t>
      </w:r>
    </w:p>
    <w:p w14:paraId="605A7459" w14:textId="77777777" w:rsidR="00F40CAF" w:rsidRDefault="00F40CAF" w:rsidP="00F40CAF">
      <w:pPr>
        <w:jc w:val="both"/>
        <w:rPr>
          <w:rFonts w:ascii="Arial" w:hAnsi="Arial" w:cs="Arial"/>
          <w:sz w:val="22"/>
          <w:szCs w:val="22"/>
        </w:rPr>
      </w:pPr>
    </w:p>
    <w:p w14:paraId="092E648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2F1111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237C211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0CFE064" w14:textId="77777777" w:rsidR="00C56F13" w:rsidRDefault="00C56F13">
      <w:pPr>
        <w:jc w:val="center"/>
        <w:rPr>
          <w:rFonts w:ascii="Arial" w:hAnsi="Arial" w:cs="Arial"/>
          <w:b/>
          <w:sz w:val="22"/>
          <w:szCs w:val="22"/>
        </w:rPr>
      </w:pPr>
    </w:p>
    <w:p w14:paraId="6C0D2B6A" w14:textId="11E6DD99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1111">
        <w:rPr>
          <w:rFonts w:ascii="Arial" w:hAnsi="Arial" w:cs="Arial"/>
          <w:b/>
          <w:sz w:val="22"/>
          <w:szCs w:val="22"/>
        </w:rPr>
        <w:t>5</w:t>
      </w:r>
    </w:p>
    <w:p w14:paraId="5047821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256542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4E6D43A" w14:textId="74B5FFDF" w:rsidR="0025354B" w:rsidRPr="002F1111" w:rsidRDefault="0025354B" w:rsidP="00096A54">
      <w:pPr>
        <w:widowControl w:val="0"/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="002F1111">
        <w:rPr>
          <w:rFonts w:ascii="Arial" w:hAnsi="Arial" w:cs="Arial"/>
          <w:sz w:val="22"/>
          <w:szCs w:val="22"/>
        </w:rPr>
        <w:t>do sběrných nádob</w:t>
      </w:r>
      <w:r w:rsidR="002928AF">
        <w:rPr>
          <w:rFonts w:ascii="Arial" w:hAnsi="Arial" w:cs="Arial"/>
          <w:sz w:val="22"/>
          <w:szCs w:val="22"/>
        </w:rPr>
        <w:t xml:space="preserve">. </w:t>
      </w:r>
      <w:r w:rsidRPr="002F1111">
        <w:rPr>
          <w:rFonts w:ascii="Arial" w:hAnsi="Arial" w:cs="Arial"/>
          <w:sz w:val="22"/>
          <w:szCs w:val="22"/>
        </w:rPr>
        <w:t>Pro účely této vyhlášky se sběrnými nádobami rozumějí:</w:t>
      </w:r>
      <w:r w:rsidR="00D736CB" w:rsidRPr="002F1111">
        <w:rPr>
          <w:rFonts w:ascii="Arial" w:hAnsi="Arial" w:cs="Arial"/>
          <w:sz w:val="22"/>
          <w:szCs w:val="22"/>
        </w:rPr>
        <w:t xml:space="preserve"> </w:t>
      </w:r>
    </w:p>
    <w:p w14:paraId="4668852B" w14:textId="77777777" w:rsidR="0025354B" w:rsidRPr="002F1111" w:rsidRDefault="002F1111" w:rsidP="00096A54">
      <w:pPr>
        <w:numPr>
          <w:ilvl w:val="0"/>
          <w:numId w:val="2"/>
        </w:numPr>
        <w:tabs>
          <w:tab w:val="clear" w:pos="360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bCs/>
          <w:sz w:val="22"/>
          <w:szCs w:val="22"/>
        </w:rPr>
        <w:t>p</w:t>
      </w:r>
      <w:r w:rsidR="005F0210" w:rsidRPr="002F1111">
        <w:rPr>
          <w:rFonts w:ascii="Arial" w:hAnsi="Arial" w:cs="Arial"/>
          <w:bCs/>
          <w:sz w:val="22"/>
          <w:szCs w:val="22"/>
        </w:rPr>
        <w:t>opelnice</w:t>
      </w:r>
      <w:r w:rsidRPr="002F1111">
        <w:rPr>
          <w:rFonts w:ascii="Arial" w:hAnsi="Arial" w:cs="Arial"/>
          <w:bCs/>
          <w:sz w:val="22"/>
          <w:szCs w:val="22"/>
        </w:rPr>
        <w:t xml:space="preserve"> o objemu 120 litrů, kontejnery o objemu 1100 litrů určené ke shromažďování směsného komunálního odpadu,</w:t>
      </w:r>
    </w:p>
    <w:p w14:paraId="145F7B17" w14:textId="7326DC20" w:rsidR="00096A54" w:rsidRDefault="005F0210" w:rsidP="00096A54">
      <w:pPr>
        <w:numPr>
          <w:ilvl w:val="0"/>
          <w:numId w:val="2"/>
        </w:numPr>
        <w:tabs>
          <w:tab w:val="clear" w:pos="360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 w:rsidRPr="002F1111">
        <w:rPr>
          <w:rFonts w:ascii="Arial" w:hAnsi="Arial" w:cs="Arial"/>
          <w:sz w:val="22"/>
          <w:szCs w:val="22"/>
        </w:rPr>
        <w:t>odpadkové koše</w:t>
      </w:r>
      <w:r w:rsidR="0025354B" w:rsidRPr="002F1111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0AB7DC4" w14:textId="5602739A" w:rsidR="002928AF" w:rsidRPr="00096A54" w:rsidRDefault="002928AF" w:rsidP="00096A54">
      <w:pPr>
        <w:numPr>
          <w:ilvl w:val="0"/>
          <w:numId w:val="2"/>
        </w:numPr>
        <w:tabs>
          <w:tab w:val="clear" w:pos="360"/>
          <w:tab w:val="num" w:pos="851"/>
        </w:tabs>
        <w:spacing w:before="120" w:after="12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plastové pytle opatřené logem svozové společnosti.</w:t>
      </w:r>
    </w:p>
    <w:p w14:paraId="531E6CE7" w14:textId="13C5BEA0" w:rsidR="00096A54" w:rsidRPr="002928AF" w:rsidRDefault="002928AF" w:rsidP="00096A54">
      <w:pPr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928AF">
        <w:rPr>
          <w:rFonts w:ascii="Arial" w:hAnsi="Arial" w:cs="Arial"/>
          <w:sz w:val="22"/>
          <w:szCs w:val="22"/>
        </w:rPr>
        <w:t>Stanoviště sběrných nádob</w:t>
      </w:r>
      <w:r>
        <w:rPr>
          <w:rFonts w:ascii="Arial" w:hAnsi="Arial" w:cs="Arial"/>
          <w:sz w:val="22"/>
          <w:szCs w:val="22"/>
        </w:rPr>
        <w:t xml:space="preserve"> je místo, kde jsou sběrné nádoby trvale nebo přechodně umístěny za účelem dalšího nakládání se směsným komunálním odpadem oprávněnou osobou. Stanoviště sběrných nádob jsou individuální nebo společná pro více uživatelů.</w:t>
      </w:r>
    </w:p>
    <w:p w14:paraId="7321D331" w14:textId="77777777" w:rsidR="002928AF" w:rsidRPr="002928AF" w:rsidRDefault="00CF5BE8" w:rsidP="00096A54">
      <w:pPr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C840107" w14:textId="046E00E2" w:rsidR="00CF5BE8" w:rsidRPr="002928AF" w:rsidRDefault="002F1111" w:rsidP="00096A54">
      <w:pPr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pytlů je vedle sběrných nádob</w:t>
      </w:r>
      <w:r w:rsidR="002928AF">
        <w:rPr>
          <w:rFonts w:ascii="Arial" w:hAnsi="Arial" w:cs="Arial"/>
          <w:sz w:val="22"/>
          <w:szCs w:val="22"/>
        </w:rPr>
        <w:t xml:space="preserve"> na směsný komunální odpad. Pytle je třeba před odložením zavázat, aby z nich obsah nevypadával.</w:t>
      </w:r>
    </w:p>
    <w:p w14:paraId="1259AA51" w14:textId="55F21DC0" w:rsidR="002928AF" w:rsidRPr="002F1111" w:rsidRDefault="002928AF" w:rsidP="00096A54">
      <w:pPr>
        <w:numPr>
          <w:ilvl w:val="0"/>
          <w:numId w:val="28"/>
        </w:numPr>
        <w:spacing w:before="120"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Stanovuje se povinnost zajistit si pro shromažďování směsného komunálního odpadu dostatečný počet sběrných nádob stanoveného typu o dostatečném množství.</w:t>
      </w:r>
    </w:p>
    <w:p w14:paraId="79235C19" w14:textId="77777777" w:rsidR="000F4568" w:rsidRDefault="000F4568" w:rsidP="00831C07">
      <w:pPr>
        <w:pStyle w:val="Default"/>
        <w:jc w:val="both"/>
        <w:rPr>
          <w:color w:val="00B0F0"/>
          <w:sz w:val="22"/>
          <w:szCs w:val="22"/>
        </w:rPr>
      </w:pPr>
    </w:p>
    <w:p w14:paraId="5C9124B0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2F1111">
        <w:rPr>
          <w:rFonts w:ascii="Arial" w:hAnsi="Arial" w:cs="Arial"/>
          <w:b/>
          <w:sz w:val="22"/>
          <w:szCs w:val="22"/>
        </w:rPr>
        <w:t>6</w:t>
      </w:r>
    </w:p>
    <w:p w14:paraId="47396CA6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109E7B0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5EB6BA2" w14:textId="28E2E0A3" w:rsidR="00F2117B" w:rsidRPr="00C56F13" w:rsidRDefault="00F2117B" w:rsidP="00C7052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56F13">
        <w:rPr>
          <w:rFonts w:ascii="Arial" w:hAnsi="Arial" w:cs="Arial"/>
          <w:sz w:val="22"/>
          <w:szCs w:val="22"/>
        </w:rPr>
        <w:t>Právnické a podnikající fyzické osoby zapojené do obecního systému na základě smlouvy s obcí komunální odpad dle čl. 2 odst. 1 předávají v souladu s čl. 3 odst. 3, čl. 4 odst. 1 a čl. 5 odst. 1 písm. a) této vyhlášky. V případě komunálního odpadu podle čl. 2 odst. 1 písm. k) jsou pak sběrné nádoby podle čl. 5 odst. 1 písm. a) umístěny u jednotlivých provozoven.</w:t>
      </w:r>
    </w:p>
    <w:p w14:paraId="1A980E39" w14:textId="77777777" w:rsidR="003D65DD" w:rsidRPr="00B730B0" w:rsidRDefault="003D65DD" w:rsidP="003D65D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A286BA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stanoví</w:t>
      </w:r>
      <w:r w:rsidR="001A0E6D">
        <w:rPr>
          <w:rFonts w:ascii="Arial" w:hAnsi="Arial" w:cs="Arial"/>
          <w:sz w:val="22"/>
          <w:szCs w:val="22"/>
        </w:rPr>
        <w:t xml:space="preserve"> dle ceníku uvedeného na webových stránkách obce</w:t>
      </w:r>
      <w:r w:rsidR="001A0E6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. </w:t>
      </w:r>
    </w:p>
    <w:p w14:paraId="4D1773C6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7C1437B" w14:textId="13BEFFF4" w:rsidR="000F4568" w:rsidRPr="001A0E6D" w:rsidRDefault="001A0E6D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A0E6D">
        <w:rPr>
          <w:rFonts w:ascii="Arial" w:hAnsi="Arial" w:cs="Arial"/>
          <w:sz w:val="22"/>
          <w:szCs w:val="22"/>
        </w:rPr>
        <w:t>Úhrada se vybírá jednorázově,</w:t>
      </w:r>
      <w:r w:rsidR="00421C34" w:rsidRPr="001A0E6D">
        <w:rPr>
          <w:rFonts w:ascii="Arial" w:hAnsi="Arial" w:cs="Arial"/>
          <w:sz w:val="22"/>
          <w:szCs w:val="22"/>
        </w:rPr>
        <w:t xml:space="preserve"> a </w:t>
      </w:r>
      <w:r w:rsidR="00A47650" w:rsidRPr="001A0E6D">
        <w:rPr>
          <w:rFonts w:ascii="Arial" w:hAnsi="Arial" w:cs="Arial"/>
          <w:sz w:val="22"/>
          <w:szCs w:val="22"/>
        </w:rPr>
        <w:t xml:space="preserve">to </w:t>
      </w:r>
      <w:r w:rsidRPr="001A0E6D">
        <w:rPr>
          <w:rFonts w:ascii="Arial" w:hAnsi="Arial" w:cs="Arial"/>
          <w:sz w:val="22"/>
          <w:szCs w:val="22"/>
        </w:rPr>
        <w:t>v hotovosti nebo převodem na účet obce Heřmánkovice.</w:t>
      </w:r>
    </w:p>
    <w:p w14:paraId="6C468346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827C860" w14:textId="77777777" w:rsidR="00C56F13" w:rsidRDefault="00C56F13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826FA1B" w14:textId="7F4F735F" w:rsidR="000F4568" w:rsidRPr="008A3FB3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3FB3">
        <w:rPr>
          <w:rFonts w:ascii="Arial" w:hAnsi="Arial" w:cs="Arial"/>
          <w:b/>
          <w:sz w:val="22"/>
          <w:szCs w:val="22"/>
        </w:rPr>
        <w:t xml:space="preserve">Čl. </w:t>
      </w:r>
      <w:r w:rsidR="002F1111" w:rsidRPr="008A3FB3">
        <w:rPr>
          <w:rFonts w:ascii="Arial" w:hAnsi="Arial" w:cs="Arial"/>
          <w:b/>
          <w:sz w:val="22"/>
          <w:szCs w:val="22"/>
        </w:rPr>
        <w:t>7</w:t>
      </w:r>
    </w:p>
    <w:p w14:paraId="3A55CA61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3FB3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A3FB3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841CCA6" w14:textId="77777777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5F54B4E0" w14:textId="77777777" w:rsidR="00543342" w:rsidRPr="008A3FB3" w:rsidRDefault="00543342" w:rsidP="008A3FB3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  <w:r w:rsidR="008A3FB3">
        <w:rPr>
          <w:rFonts w:ascii="Arial" w:hAnsi="Arial" w:cs="Arial"/>
          <w:sz w:val="22"/>
          <w:szCs w:val="22"/>
        </w:rPr>
        <w:t xml:space="preserve"> </w:t>
      </w:r>
      <w:r w:rsidR="00BE347C" w:rsidRPr="008A3FB3">
        <w:rPr>
          <w:rFonts w:ascii="Arial" w:hAnsi="Arial" w:cs="Arial"/>
          <w:sz w:val="22"/>
          <w:szCs w:val="22"/>
        </w:rPr>
        <w:t>oděvy a textil</w:t>
      </w:r>
      <w:r w:rsidR="00352DD8" w:rsidRPr="008A3FB3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FABD489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E46384B" w14:textId="73B303A8" w:rsidR="001A1793" w:rsidRDefault="008C3A2A" w:rsidP="00D226C7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8A3FB3">
        <w:rPr>
          <w:rFonts w:ascii="Arial" w:hAnsi="Arial" w:cs="Arial"/>
          <w:sz w:val="22"/>
          <w:szCs w:val="22"/>
        </w:rPr>
        <w:t xml:space="preserve"> do šedé sběrné nádoby s</w:t>
      </w:r>
      <w:r w:rsidR="00B6217E">
        <w:rPr>
          <w:rFonts w:ascii="Arial" w:hAnsi="Arial" w:cs="Arial"/>
          <w:sz w:val="22"/>
          <w:szCs w:val="22"/>
        </w:rPr>
        <w:t> označením „textil“, jejíž umístění je uvedeno na webových stránkách obce.</w:t>
      </w:r>
      <w:r w:rsidR="008A3FB3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B6217E">
        <w:rPr>
          <w:rFonts w:ascii="Arial" w:hAnsi="Arial" w:cs="Arial"/>
          <w:sz w:val="22"/>
          <w:szCs w:val="22"/>
        </w:rPr>
        <w:t>v </w:t>
      </w:r>
      <w:r w:rsidR="00AF49AB" w:rsidRPr="009743BA">
        <w:rPr>
          <w:rFonts w:ascii="Arial" w:hAnsi="Arial" w:cs="Arial"/>
          <w:sz w:val="22"/>
          <w:szCs w:val="22"/>
        </w:rPr>
        <w:t>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5DDFC0B7" w14:textId="77777777" w:rsidR="00831C07" w:rsidRDefault="00831C07" w:rsidP="00831C07">
      <w:pPr>
        <w:jc w:val="both"/>
        <w:rPr>
          <w:rFonts w:ascii="Arial" w:hAnsi="Arial" w:cs="Arial"/>
          <w:sz w:val="22"/>
          <w:szCs w:val="22"/>
        </w:rPr>
      </w:pPr>
    </w:p>
    <w:p w14:paraId="6E7C9FF8" w14:textId="01092956" w:rsidR="00831C07" w:rsidRDefault="00831C07" w:rsidP="00831C07">
      <w:pPr>
        <w:jc w:val="both"/>
        <w:rPr>
          <w:rFonts w:ascii="Arial" w:hAnsi="Arial" w:cs="Arial"/>
          <w:sz w:val="22"/>
          <w:szCs w:val="22"/>
        </w:rPr>
      </w:pPr>
    </w:p>
    <w:p w14:paraId="368AAC85" w14:textId="77777777" w:rsidR="00831C07" w:rsidRPr="00831C07" w:rsidRDefault="00831C07" w:rsidP="00831C07">
      <w:pPr>
        <w:jc w:val="both"/>
        <w:rPr>
          <w:rFonts w:ascii="Arial" w:hAnsi="Arial" w:cs="Arial"/>
          <w:sz w:val="22"/>
          <w:szCs w:val="22"/>
        </w:rPr>
      </w:pPr>
    </w:p>
    <w:p w14:paraId="66EA7E12" w14:textId="77777777" w:rsidR="00F771CC" w:rsidRPr="00B6217E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B6217E">
        <w:rPr>
          <w:rFonts w:ascii="Arial" w:hAnsi="Arial" w:cs="Arial"/>
          <w:b/>
          <w:sz w:val="22"/>
          <w:szCs w:val="22"/>
        </w:rPr>
        <w:t xml:space="preserve">Čl. </w:t>
      </w:r>
      <w:r w:rsidR="002F1111" w:rsidRPr="00B6217E">
        <w:rPr>
          <w:rFonts w:ascii="Arial" w:hAnsi="Arial" w:cs="Arial"/>
          <w:b/>
          <w:sz w:val="22"/>
          <w:szCs w:val="22"/>
        </w:rPr>
        <w:t>8</w:t>
      </w:r>
    </w:p>
    <w:p w14:paraId="4CF356E0" w14:textId="77777777" w:rsidR="00B6217E" w:rsidRPr="00B6217E" w:rsidRDefault="00F771CC" w:rsidP="00B6217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6217E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B6217E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B6217E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B6217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2E589D2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B6217E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891A97A" w14:textId="77777777" w:rsidR="00B6217E" w:rsidRPr="00B6217E" w:rsidRDefault="00B6217E" w:rsidP="00B6217E"/>
    <w:p w14:paraId="271F6BAA" w14:textId="77777777" w:rsidR="00211D36" w:rsidRPr="00B6217E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B721107" w14:textId="77777777" w:rsidR="00414D31" w:rsidRPr="00B6217E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2042331" w14:textId="77777777" w:rsidR="00211D36" w:rsidRPr="00B6217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>a) elektrozařízení</w:t>
      </w:r>
      <w:r w:rsidR="00B6217E" w:rsidRPr="00B6217E">
        <w:rPr>
          <w:rFonts w:ascii="Arial" w:hAnsi="Arial" w:cs="Arial"/>
          <w:sz w:val="22"/>
          <w:szCs w:val="22"/>
        </w:rPr>
        <w:t>,</w:t>
      </w:r>
    </w:p>
    <w:p w14:paraId="53C6ED22" w14:textId="77777777" w:rsidR="00211D36" w:rsidRPr="00B6217E" w:rsidRDefault="00211D36" w:rsidP="00B6217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 xml:space="preserve">b) </w:t>
      </w:r>
      <w:r w:rsidR="00B11B51" w:rsidRPr="00B6217E">
        <w:rPr>
          <w:rFonts w:ascii="Arial" w:hAnsi="Arial" w:cs="Arial"/>
          <w:sz w:val="22"/>
          <w:szCs w:val="22"/>
        </w:rPr>
        <w:t>baterie a akumulátory</w:t>
      </w:r>
      <w:r w:rsidR="00B6217E" w:rsidRPr="00B6217E">
        <w:rPr>
          <w:rFonts w:ascii="Arial" w:hAnsi="Arial" w:cs="Arial"/>
          <w:sz w:val="22"/>
          <w:szCs w:val="22"/>
        </w:rPr>
        <w:t>.</w:t>
      </w:r>
      <w:r w:rsidRPr="00B6217E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184257E" w14:textId="77777777" w:rsidR="00211D36" w:rsidRPr="00B6217E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59F1B15" w14:textId="77777777" w:rsidR="00F771CC" w:rsidRPr="00B6217E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6217E">
        <w:rPr>
          <w:rFonts w:ascii="Arial" w:hAnsi="Arial" w:cs="Arial"/>
          <w:sz w:val="22"/>
          <w:szCs w:val="22"/>
        </w:rPr>
        <w:t>Výrobky s ukončenou životností</w:t>
      </w:r>
      <w:r w:rsidR="00211D36" w:rsidRPr="00B6217E">
        <w:rPr>
          <w:rFonts w:ascii="Arial" w:hAnsi="Arial" w:cs="Arial"/>
          <w:sz w:val="22"/>
          <w:szCs w:val="22"/>
        </w:rPr>
        <w:t xml:space="preserve"> uvedené v odst. 1</w:t>
      </w:r>
      <w:r w:rsidR="00B6217E" w:rsidRPr="00B6217E">
        <w:rPr>
          <w:rFonts w:ascii="Arial" w:hAnsi="Arial" w:cs="Arial"/>
          <w:sz w:val="22"/>
          <w:szCs w:val="22"/>
        </w:rPr>
        <w:t xml:space="preserve"> lze předávat do </w:t>
      </w:r>
      <w:r w:rsidR="00B6217E">
        <w:rPr>
          <w:rFonts w:ascii="Arial" w:hAnsi="Arial" w:cs="Arial"/>
          <w:sz w:val="22"/>
          <w:szCs w:val="22"/>
        </w:rPr>
        <w:t xml:space="preserve">označené </w:t>
      </w:r>
      <w:r w:rsidR="00B6217E" w:rsidRPr="00B6217E">
        <w:rPr>
          <w:rFonts w:ascii="Arial" w:hAnsi="Arial" w:cs="Arial"/>
          <w:sz w:val="22"/>
          <w:szCs w:val="22"/>
        </w:rPr>
        <w:t>sběrné nádoby červené barvy, jejíž umístění je uvedeno na webových stránkách obce.</w:t>
      </w:r>
    </w:p>
    <w:p w14:paraId="5D560987" w14:textId="77777777" w:rsidR="00A81D11" w:rsidRDefault="00A81D11" w:rsidP="00831C07">
      <w:pPr>
        <w:rPr>
          <w:rFonts w:ascii="Arial" w:hAnsi="Arial" w:cs="Arial"/>
          <w:b/>
          <w:sz w:val="22"/>
          <w:szCs w:val="22"/>
        </w:rPr>
      </w:pPr>
    </w:p>
    <w:p w14:paraId="48B8663F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A0E6D">
        <w:rPr>
          <w:rFonts w:ascii="Arial" w:hAnsi="Arial" w:cs="Arial"/>
          <w:b/>
          <w:sz w:val="22"/>
          <w:szCs w:val="22"/>
        </w:rPr>
        <w:t>9</w:t>
      </w:r>
    </w:p>
    <w:p w14:paraId="65374F6F" w14:textId="0622E963" w:rsidR="0024722A" w:rsidRPr="00680CEA" w:rsidRDefault="005D0BAA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15EF394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753E79" w14:textId="751DAAE8" w:rsidR="00963A13" w:rsidRDefault="001A0E6D" w:rsidP="005D0BAA">
      <w:pPr>
        <w:pStyle w:val="Odstavecseseznamem"/>
        <w:numPr>
          <w:ilvl w:val="0"/>
          <w:numId w:val="33"/>
        </w:numPr>
        <w:spacing w:before="120" w:line="288" w:lineRule="auto"/>
        <w:ind w:left="426"/>
        <w:jc w:val="both"/>
        <w:rPr>
          <w:rFonts w:ascii="Arial" w:hAnsi="Arial" w:cs="Arial"/>
        </w:rPr>
      </w:pPr>
      <w:bookmarkStart w:id="0" w:name="_Hlk54595723"/>
      <w:r w:rsidRPr="005D0BAA">
        <w:rPr>
          <w:rFonts w:ascii="Arial" w:hAnsi="Arial" w:cs="Arial"/>
        </w:rPr>
        <w:t>Ruší</w:t>
      </w:r>
      <w:r w:rsidR="00963A13" w:rsidRPr="005D0BAA">
        <w:rPr>
          <w:rFonts w:ascii="Arial" w:hAnsi="Arial" w:cs="Arial"/>
        </w:rPr>
        <w:t xml:space="preserve"> se obecně závazná vyhláška </w:t>
      </w:r>
      <w:bookmarkEnd w:id="0"/>
      <w:r w:rsidRPr="005D0BAA">
        <w:rPr>
          <w:rFonts w:ascii="Arial" w:hAnsi="Arial" w:cs="Arial"/>
        </w:rPr>
        <w:t xml:space="preserve">č. </w:t>
      </w:r>
      <w:r w:rsidR="005D0BAA">
        <w:rPr>
          <w:rFonts w:ascii="Arial" w:hAnsi="Arial" w:cs="Arial"/>
        </w:rPr>
        <w:t>2/2023</w:t>
      </w:r>
      <w:r w:rsidRPr="005D0BAA">
        <w:rPr>
          <w:rFonts w:ascii="Arial" w:hAnsi="Arial" w:cs="Arial"/>
        </w:rPr>
        <w:t xml:space="preserve">, o </w:t>
      </w:r>
      <w:r w:rsidR="005D0BAA">
        <w:rPr>
          <w:rFonts w:ascii="Arial" w:hAnsi="Arial" w:cs="Arial"/>
        </w:rPr>
        <w:t>stanovení obecního systému odpadového hospodářství,</w:t>
      </w:r>
      <w:r w:rsidR="00963A13" w:rsidRPr="005D0BAA">
        <w:rPr>
          <w:rFonts w:ascii="Arial" w:hAnsi="Arial" w:cs="Arial"/>
        </w:rPr>
        <w:t xml:space="preserve"> ze dne</w:t>
      </w:r>
      <w:r w:rsidRPr="005D0BAA">
        <w:rPr>
          <w:rFonts w:ascii="Arial" w:hAnsi="Arial" w:cs="Arial"/>
        </w:rPr>
        <w:t xml:space="preserve"> </w:t>
      </w:r>
      <w:r w:rsidR="005D0BAA">
        <w:rPr>
          <w:rFonts w:ascii="Arial" w:hAnsi="Arial" w:cs="Arial"/>
        </w:rPr>
        <w:t>12.06.2023</w:t>
      </w:r>
      <w:r w:rsidR="00963A13" w:rsidRPr="005D0BAA">
        <w:rPr>
          <w:rFonts w:ascii="Arial" w:hAnsi="Arial" w:cs="Arial"/>
        </w:rPr>
        <w:t>.</w:t>
      </w:r>
    </w:p>
    <w:p w14:paraId="622A3572" w14:textId="6DE980FF" w:rsidR="005D0BAA" w:rsidRPr="00543A9D" w:rsidRDefault="005D0BAA" w:rsidP="00A318AE">
      <w:pPr>
        <w:pStyle w:val="Odstavecseseznamem"/>
        <w:numPr>
          <w:ilvl w:val="0"/>
          <w:numId w:val="33"/>
        </w:numPr>
        <w:spacing w:before="120" w:line="288" w:lineRule="auto"/>
        <w:ind w:left="426"/>
        <w:jc w:val="both"/>
        <w:rPr>
          <w:rFonts w:ascii="Arial" w:hAnsi="Arial" w:cs="Arial"/>
        </w:rPr>
      </w:pPr>
      <w:r w:rsidRPr="00543A9D">
        <w:rPr>
          <w:rFonts w:ascii="Arial" w:hAnsi="Arial" w:cs="Arial"/>
        </w:rPr>
        <w:t>Tato obecně závazná vyhláška nabývá účinnosti dnem 1. ledna 2025.</w:t>
      </w:r>
    </w:p>
    <w:p w14:paraId="4DEA6E17" w14:textId="77777777" w:rsidR="001A0E6D" w:rsidRPr="001A0E6D" w:rsidRDefault="001A0E6D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A613278" w14:textId="77777777"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302F292" w14:textId="77777777" w:rsidR="005D0BAA" w:rsidRDefault="005D0BA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708D5E8" w14:textId="77777777" w:rsidR="005D0BAA" w:rsidRPr="00074576" w:rsidRDefault="005D0BAA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DA0C8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20205E" w14:textId="77777777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A0E6D">
        <w:rPr>
          <w:rFonts w:ascii="Arial" w:hAnsi="Arial" w:cs="Arial"/>
          <w:bCs/>
          <w:sz w:val="22"/>
          <w:szCs w:val="22"/>
        </w:rPr>
        <w:t>..……………….</w:t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1A0E6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1A0E6D">
        <w:rPr>
          <w:rFonts w:ascii="Arial" w:hAnsi="Arial" w:cs="Arial"/>
          <w:bCs/>
          <w:sz w:val="22"/>
          <w:szCs w:val="22"/>
        </w:rPr>
        <w:t>………</w:t>
      </w:r>
    </w:p>
    <w:p w14:paraId="188670E5" w14:textId="1F2B15F0" w:rsidR="0024722A" w:rsidRPr="001D113B" w:rsidRDefault="001A0E6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1A0E6D">
        <w:rPr>
          <w:rFonts w:ascii="Arial" w:hAnsi="Arial" w:cs="Arial"/>
          <w:bCs/>
          <w:sz w:val="22"/>
          <w:szCs w:val="22"/>
        </w:rPr>
        <w:t>   </w:t>
      </w:r>
      <w:r w:rsidR="005D0BAA">
        <w:rPr>
          <w:rFonts w:ascii="Arial" w:hAnsi="Arial" w:cs="Arial"/>
          <w:bCs/>
          <w:sz w:val="22"/>
          <w:szCs w:val="22"/>
        </w:rPr>
        <w:t xml:space="preserve">    Jana Králová</w:t>
      </w:r>
      <w:r w:rsidRPr="001A0E6D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1A0E6D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D0BAA">
        <w:rPr>
          <w:rFonts w:ascii="Arial" w:hAnsi="Arial" w:cs="Arial"/>
          <w:bCs/>
          <w:sz w:val="22"/>
          <w:szCs w:val="22"/>
        </w:rPr>
        <w:t xml:space="preserve">                 </w:t>
      </w:r>
      <w:r>
        <w:rPr>
          <w:rFonts w:ascii="Arial" w:hAnsi="Arial" w:cs="Arial"/>
          <w:bCs/>
          <w:sz w:val="22"/>
          <w:szCs w:val="22"/>
        </w:rPr>
        <w:t> </w:t>
      </w:r>
      <w:r w:rsidR="005D0BAA">
        <w:rPr>
          <w:rFonts w:ascii="Arial" w:hAnsi="Arial" w:cs="Arial"/>
          <w:bCs/>
          <w:sz w:val="22"/>
          <w:szCs w:val="22"/>
        </w:rPr>
        <w:t>Petr Kubásek</w:t>
      </w:r>
      <w:r>
        <w:rPr>
          <w:rFonts w:ascii="Arial" w:hAnsi="Arial" w:cs="Arial"/>
          <w:bCs/>
          <w:sz w:val="22"/>
          <w:szCs w:val="22"/>
        </w:rPr>
        <w:t xml:space="preserve"> v. r.</w:t>
      </w:r>
    </w:p>
    <w:p w14:paraId="78A5C440" w14:textId="4D96DC82" w:rsidR="0024722A" w:rsidRPr="00FB6AE5" w:rsidRDefault="001A0E6D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</w:t>
      </w:r>
      <w:r w:rsidR="005D0BAA"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starost</w:t>
      </w:r>
      <w:r w:rsidR="005D0BAA">
        <w:rPr>
          <w:rFonts w:ascii="Arial" w:hAnsi="Arial" w:cs="Arial"/>
          <w:bCs/>
          <w:sz w:val="22"/>
          <w:szCs w:val="22"/>
        </w:rPr>
        <w:t>ka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          </w:t>
      </w:r>
      <w:r w:rsidR="005D0BAA">
        <w:rPr>
          <w:rFonts w:ascii="Arial" w:hAnsi="Arial" w:cs="Arial"/>
          <w:bCs/>
          <w:sz w:val="22"/>
          <w:szCs w:val="22"/>
        </w:rPr>
        <w:t>místo</w:t>
      </w:r>
      <w:r w:rsidR="00E2491F">
        <w:rPr>
          <w:rFonts w:ascii="Arial" w:hAnsi="Arial" w:cs="Arial"/>
          <w:bCs/>
          <w:sz w:val="22"/>
          <w:szCs w:val="22"/>
        </w:rPr>
        <w:t>star</w:t>
      </w:r>
      <w:r w:rsidR="005D0BAA">
        <w:rPr>
          <w:rFonts w:ascii="Arial" w:hAnsi="Arial" w:cs="Arial"/>
          <w:bCs/>
          <w:sz w:val="22"/>
          <w:szCs w:val="22"/>
        </w:rPr>
        <w:t>osta</w:t>
      </w:r>
    </w:p>
    <w:p w14:paraId="0A66BAE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21CAF8C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418744DB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696BD5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F2C1F" w14:textId="77777777" w:rsidR="00B532E4" w:rsidRDefault="00B532E4">
      <w:r>
        <w:separator/>
      </w:r>
    </w:p>
  </w:endnote>
  <w:endnote w:type="continuationSeparator" w:id="0">
    <w:p w14:paraId="37DF08D5" w14:textId="77777777" w:rsidR="00B532E4" w:rsidRDefault="00B53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86D42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217E">
      <w:rPr>
        <w:noProof/>
      </w:rPr>
      <w:t>3</w:t>
    </w:r>
    <w:r>
      <w:fldChar w:fldCharType="end"/>
    </w:r>
  </w:p>
  <w:p w14:paraId="4C7426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9DAE" w14:textId="77777777" w:rsidR="00B532E4" w:rsidRDefault="00B532E4">
      <w:r>
        <w:separator/>
      </w:r>
    </w:p>
  </w:footnote>
  <w:footnote w:type="continuationSeparator" w:id="0">
    <w:p w14:paraId="1A7564AB" w14:textId="77777777" w:rsidR="00B532E4" w:rsidRDefault="00B532E4">
      <w:r>
        <w:continuationSeparator/>
      </w:r>
    </w:p>
  </w:footnote>
  <w:footnote w:id="1">
    <w:p w14:paraId="73EA3E2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5EE1D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F0ACB32" w14:textId="77777777" w:rsidR="00DB1798" w:rsidRPr="00DB1798" w:rsidRDefault="00DB179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DB1798">
        <w:rPr>
          <w:rFonts w:ascii="Arial" w:hAnsi="Arial" w:cs="Arial"/>
        </w:rPr>
        <w:t>www.hermankovice.cz</w:t>
      </w:r>
    </w:p>
  </w:footnote>
  <w:footnote w:id="4">
    <w:p w14:paraId="3C223221" w14:textId="7FB0F329" w:rsidR="00DB1798" w:rsidRPr="002F1111" w:rsidRDefault="00DB1798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="000C5A26">
        <w:rPr>
          <w:rFonts w:ascii="Arial" w:hAnsi="Arial" w:cs="Arial"/>
        </w:rPr>
        <w:t>do</w:t>
      </w:r>
      <w:r w:rsidRPr="002F1111">
        <w:rPr>
          <w:rFonts w:ascii="Arial" w:hAnsi="Arial" w:cs="Arial"/>
        </w:rPr>
        <w:t xml:space="preserve"> sběrné nádoby se odkládají v uzavřené plastové láhvi o maximálním objemu 2 litry</w:t>
      </w:r>
      <w:r w:rsidR="002F1111" w:rsidRPr="002F1111">
        <w:rPr>
          <w:rFonts w:ascii="Arial" w:hAnsi="Arial" w:cs="Arial"/>
        </w:rPr>
        <w:t>.</w:t>
      </w:r>
    </w:p>
  </w:footnote>
  <w:footnote w:id="5">
    <w:p w14:paraId="06E9E439" w14:textId="77777777" w:rsidR="001A0E6D" w:rsidRPr="001A0E6D" w:rsidRDefault="001A0E6D">
      <w:pPr>
        <w:pStyle w:val="Textpoznpodarou"/>
        <w:rPr>
          <w:rFonts w:ascii="Arial" w:hAnsi="Arial" w:cs="Arial"/>
        </w:rPr>
      </w:pPr>
      <w:r w:rsidRPr="001A0E6D">
        <w:rPr>
          <w:rStyle w:val="Znakapoznpodarou"/>
          <w:rFonts w:ascii="Arial" w:hAnsi="Arial" w:cs="Arial"/>
        </w:rPr>
        <w:footnoteRef/>
      </w:r>
      <w:r w:rsidRPr="001A0E6D">
        <w:rPr>
          <w:rFonts w:ascii="Arial" w:hAnsi="Arial" w:cs="Arial"/>
        </w:rPr>
        <w:t xml:space="preserve"> www.hermankovice.cz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8C8AFB6"/>
    <w:lvl w:ilvl="0" w:tplc="E56E6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F9223292"/>
    <w:lvl w:ilvl="0" w:tplc="E56E6B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57B2C036"/>
    <w:lvl w:ilvl="0" w:tplc="E56E6B3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84B0F1CE"/>
    <w:lvl w:ilvl="0" w:tplc="E56E6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045821CE"/>
    <w:lvl w:ilvl="0" w:tplc="E56E6B38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41C448EE"/>
    <w:lvl w:ilvl="0" w:tplc="E56E6B38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087CEB52"/>
    <w:lvl w:ilvl="0" w:tplc="E56E6B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5A18CF08"/>
    <w:lvl w:ilvl="0" w:tplc="E56E6B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A943DC"/>
    <w:multiLevelType w:val="hybridMultilevel"/>
    <w:tmpl w:val="75D84604"/>
    <w:lvl w:ilvl="0" w:tplc="E56E6B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55758995">
    <w:abstractNumId w:val="7"/>
  </w:num>
  <w:num w:numId="2" w16cid:durableId="1656490816">
    <w:abstractNumId w:val="32"/>
  </w:num>
  <w:num w:numId="3" w16cid:durableId="1512452545">
    <w:abstractNumId w:val="4"/>
  </w:num>
  <w:num w:numId="4" w16cid:durableId="409349021">
    <w:abstractNumId w:val="23"/>
  </w:num>
  <w:num w:numId="5" w16cid:durableId="1328241521">
    <w:abstractNumId w:val="20"/>
  </w:num>
  <w:num w:numId="6" w16cid:durableId="552815191">
    <w:abstractNumId w:val="27"/>
  </w:num>
  <w:num w:numId="7" w16cid:durableId="629439541">
    <w:abstractNumId w:val="8"/>
  </w:num>
  <w:num w:numId="8" w16cid:durableId="1764447916">
    <w:abstractNumId w:val="1"/>
  </w:num>
  <w:num w:numId="9" w16cid:durableId="1189636419">
    <w:abstractNumId w:val="26"/>
  </w:num>
  <w:num w:numId="10" w16cid:durableId="1702973549">
    <w:abstractNumId w:val="22"/>
  </w:num>
  <w:num w:numId="11" w16cid:durableId="1390494191">
    <w:abstractNumId w:val="21"/>
  </w:num>
  <w:num w:numId="12" w16cid:durableId="731075880">
    <w:abstractNumId w:val="10"/>
  </w:num>
  <w:num w:numId="13" w16cid:durableId="2100714377">
    <w:abstractNumId w:val="24"/>
  </w:num>
  <w:num w:numId="14" w16cid:durableId="663900894">
    <w:abstractNumId w:val="31"/>
  </w:num>
  <w:num w:numId="15" w16cid:durableId="1760835895">
    <w:abstractNumId w:val="13"/>
  </w:num>
  <w:num w:numId="16" w16cid:durableId="659961370">
    <w:abstractNumId w:val="30"/>
  </w:num>
  <w:num w:numId="17" w16cid:durableId="1229418428">
    <w:abstractNumId w:val="5"/>
  </w:num>
  <w:num w:numId="18" w16cid:durableId="1467313960">
    <w:abstractNumId w:val="0"/>
  </w:num>
  <w:num w:numId="19" w16cid:durableId="976691281">
    <w:abstractNumId w:val="16"/>
  </w:num>
  <w:num w:numId="20" w16cid:durableId="1914386772">
    <w:abstractNumId w:val="25"/>
  </w:num>
  <w:num w:numId="21" w16cid:durableId="372317488">
    <w:abstractNumId w:val="17"/>
  </w:num>
  <w:num w:numId="22" w16cid:durableId="845828667">
    <w:abstractNumId w:val="18"/>
  </w:num>
  <w:num w:numId="23" w16cid:durableId="635063540">
    <w:abstractNumId w:val="12"/>
  </w:num>
  <w:num w:numId="24" w16cid:durableId="1093013586">
    <w:abstractNumId w:val="6"/>
  </w:num>
  <w:num w:numId="25" w16cid:durableId="513227191">
    <w:abstractNumId w:val="2"/>
  </w:num>
  <w:num w:numId="26" w16cid:durableId="1911455693">
    <w:abstractNumId w:val="15"/>
  </w:num>
  <w:num w:numId="27" w16cid:durableId="1683781916">
    <w:abstractNumId w:val="3"/>
  </w:num>
  <w:num w:numId="28" w16cid:durableId="785658412">
    <w:abstractNumId w:val="14"/>
  </w:num>
  <w:num w:numId="29" w16cid:durableId="692465351">
    <w:abstractNumId w:val="9"/>
  </w:num>
  <w:num w:numId="30" w16cid:durableId="442723819">
    <w:abstractNumId w:val="11"/>
  </w:num>
  <w:num w:numId="31" w16cid:durableId="835874998">
    <w:abstractNumId w:val="29"/>
  </w:num>
  <w:num w:numId="32" w16cid:durableId="806506999">
    <w:abstractNumId w:val="19"/>
  </w:num>
  <w:num w:numId="33" w16cid:durableId="762725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6AA"/>
    <w:rsid w:val="00024B27"/>
    <w:rsid w:val="00031731"/>
    <w:rsid w:val="000332D7"/>
    <w:rsid w:val="00036778"/>
    <w:rsid w:val="00041A92"/>
    <w:rsid w:val="00042756"/>
    <w:rsid w:val="00053446"/>
    <w:rsid w:val="00053FEC"/>
    <w:rsid w:val="00055EA6"/>
    <w:rsid w:val="0005615E"/>
    <w:rsid w:val="0005787D"/>
    <w:rsid w:val="00061946"/>
    <w:rsid w:val="00074576"/>
    <w:rsid w:val="00076F7D"/>
    <w:rsid w:val="00077E69"/>
    <w:rsid w:val="0008576A"/>
    <w:rsid w:val="00091C2D"/>
    <w:rsid w:val="0009284A"/>
    <w:rsid w:val="00094F75"/>
    <w:rsid w:val="00095548"/>
    <w:rsid w:val="00096A54"/>
    <w:rsid w:val="0009785F"/>
    <w:rsid w:val="000A04B6"/>
    <w:rsid w:val="000A3A9A"/>
    <w:rsid w:val="000B4296"/>
    <w:rsid w:val="000B560B"/>
    <w:rsid w:val="000C5A26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16AE"/>
    <w:rsid w:val="00103649"/>
    <w:rsid w:val="001078B1"/>
    <w:rsid w:val="00111089"/>
    <w:rsid w:val="00115451"/>
    <w:rsid w:val="0011611A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DFE"/>
    <w:rsid w:val="00164E8B"/>
    <w:rsid w:val="001724A3"/>
    <w:rsid w:val="0017608F"/>
    <w:rsid w:val="00181515"/>
    <w:rsid w:val="00181C99"/>
    <w:rsid w:val="001869E0"/>
    <w:rsid w:val="001A0E6D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8AF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1111"/>
    <w:rsid w:val="002F4026"/>
    <w:rsid w:val="002F6C9F"/>
    <w:rsid w:val="0031415A"/>
    <w:rsid w:val="00320CF7"/>
    <w:rsid w:val="00324261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5D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0FCE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A9D"/>
    <w:rsid w:val="005467BA"/>
    <w:rsid w:val="0054776B"/>
    <w:rsid w:val="00547890"/>
    <w:rsid w:val="00550D41"/>
    <w:rsid w:val="00552FFF"/>
    <w:rsid w:val="00553B78"/>
    <w:rsid w:val="00555FEB"/>
    <w:rsid w:val="005569AF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0BAA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4FAC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1C07"/>
    <w:rsid w:val="00833615"/>
    <w:rsid w:val="00834BBA"/>
    <w:rsid w:val="00836693"/>
    <w:rsid w:val="0083695F"/>
    <w:rsid w:val="008376C9"/>
    <w:rsid w:val="00841311"/>
    <w:rsid w:val="00841C04"/>
    <w:rsid w:val="00841F59"/>
    <w:rsid w:val="008420FF"/>
    <w:rsid w:val="00843541"/>
    <w:rsid w:val="008449B5"/>
    <w:rsid w:val="00856F33"/>
    <w:rsid w:val="00860829"/>
    <w:rsid w:val="00870986"/>
    <w:rsid w:val="00872F8B"/>
    <w:rsid w:val="008A0526"/>
    <w:rsid w:val="008A20A1"/>
    <w:rsid w:val="008A2FC7"/>
    <w:rsid w:val="008A3FB3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E6E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14023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6A64"/>
    <w:rsid w:val="00A773EE"/>
    <w:rsid w:val="00A81D11"/>
    <w:rsid w:val="00A90A65"/>
    <w:rsid w:val="00A90CF0"/>
    <w:rsid w:val="00A94551"/>
    <w:rsid w:val="00A9554C"/>
    <w:rsid w:val="00AA1A40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4539"/>
    <w:rsid w:val="00AE5EEF"/>
    <w:rsid w:val="00AF49AB"/>
    <w:rsid w:val="00AF72CD"/>
    <w:rsid w:val="00B0182D"/>
    <w:rsid w:val="00B11B51"/>
    <w:rsid w:val="00B30A2B"/>
    <w:rsid w:val="00B321B9"/>
    <w:rsid w:val="00B3452E"/>
    <w:rsid w:val="00B42462"/>
    <w:rsid w:val="00B532E4"/>
    <w:rsid w:val="00B556A5"/>
    <w:rsid w:val="00B6217E"/>
    <w:rsid w:val="00B730B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F13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798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31E29"/>
    <w:rsid w:val="00E42543"/>
    <w:rsid w:val="00E428C5"/>
    <w:rsid w:val="00E555A1"/>
    <w:rsid w:val="00E5685C"/>
    <w:rsid w:val="00E5725E"/>
    <w:rsid w:val="00E61E29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1BC"/>
    <w:rsid w:val="00EF0F4E"/>
    <w:rsid w:val="00F00E31"/>
    <w:rsid w:val="00F11FC3"/>
    <w:rsid w:val="00F17575"/>
    <w:rsid w:val="00F1773A"/>
    <w:rsid w:val="00F20DEA"/>
    <w:rsid w:val="00F2117B"/>
    <w:rsid w:val="00F301DF"/>
    <w:rsid w:val="00F349F4"/>
    <w:rsid w:val="00F37B51"/>
    <w:rsid w:val="00F40CA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2F2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9A75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He%C5%99m%C3%A1nkovice_znak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F036-52D5-4F7B-8599-FF4D977E4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Králový</cp:lastModifiedBy>
  <cp:revision>2</cp:revision>
  <cp:lastPrinted>2024-07-30T06:25:00Z</cp:lastPrinted>
  <dcterms:created xsi:type="dcterms:W3CDTF">2024-10-02T11:52:00Z</dcterms:created>
  <dcterms:modified xsi:type="dcterms:W3CDTF">2024-10-02T11:52:00Z</dcterms:modified>
</cp:coreProperties>
</file>