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FD3" w:rsidRDefault="004A1FD3" w:rsidP="004A1FD3">
      <w:pPr>
        <w:pStyle w:val="Zkladntext"/>
      </w:pPr>
      <w:r>
        <w:t xml:space="preserve">Obec </w:t>
      </w:r>
      <w:r w:rsidR="00C32D4A">
        <w:t>Vikýřovice</w:t>
      </w:r>
    </w:p>
    <w:p w:rsidR="004A1FD3" w:rsidRDefault="004A1FD3" w:rsidP="004A1FD3">
      <w:pPr>
        <w:pStyle w:val="Zkladntext"/>
      </w:pPr>
    </w:p>
    <w:p w:rsidR="004A1FD3" w:rsidRDefault="004A1FD3" w:rsidP="004A1FD3">
      <w:pPr>
        <w:pStyle w:val="Zkladntext"/>
        <w:jc w:val="center"/>
        <w:rPr>
          <w:b/>
          <w:bCs/>
        </w:rPr>
      </w:pPr>
    </w:p>
    <w:p w:rsidR="004A1FD3" w:rsidRPr="00C86E25" w:rsidRDefault="004A1FD3" w:rsidP="004A1FD3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b/>
          <w:bCs/>
          <w:sz w:val="28"/>
          <w:szCs w:val="28"/>
        </w:rPr>
        <w:t xml:space="preserve">Nařízení obce č. </w:t>
      </w:r>
      <w:r w:rsidR="00C32D4A">
        <w:rPr>
          <w:b/>
          <w:bCs/>
          <w:sz w:val="28"/>
          <w:szCs w:val="28"/>
        </w:rPr>
        <w:t>1/2023</w:t>
      </w:r>
      <w:r w:rsidRPr="00C86E25">
        <w:rPr>
          <w:b/>
          <w:bCs/>
          <w:sz w:val="28"/>
          <w:szCs w:val="28"/>
        </w:rPr>
        <w:t>,</w:t>
      </w:r>
    </w:p>
    <w:p w:rsidR="004A1FD3" w:rsidRPr="00C86E25" w:rsidRDefault="004A1FD3" w:rsidP="004A1FD3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A1FD3" w:rsidRPr="00C86E25" w:rsidRDefault="004A1FD3" w:rsidP="004A1FD3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rFonts w:eastAsia="Calibri"/>
          <w:b/>
          <w:bCs/>
          <w:sz w:val="28"/>
          <w:szCs w:val="28"/>
          <w:lang w:eastAsia="en-US"/>
        </w:rPr>
        <w:t>o zákazu podomního a pochůzkového prodeje na území obce</w:t>
      </w:r>
    </w:p>
    <w:p w:rsidR="004A1FD3" w:rsidRPr="00C86E25" w:rsidRDefault="004A1FD3" w:rsidP="004A1FD3">
      <w:pPr>
        <w:jc w:val="center"/>
        <w:rPr>
          <w:sz w:val="28"/>
          <w:szCs w:val="28"/>
        </w:rPr>
      </w:pPr>
    </w:p>
    <w:p w:rsidR="004A1FD3" w:rsidRPr="00C86E25" w:rsidRDefault="004A1FD3" w:rsidP="004A1FD3">
      <w:pPr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Rada obce </w:t>
      </w:r>
      <w:r w:rsidR="00C32D4A">
        <w:rPr>
          <w:color w:val="000000"/>
          <w:sz w:val="24"/>
          <w:szCs w:val="24"/>
        </w:rPr>
        <w:t>Vikýřovice</w:t>
      </w:r>
      <w:r>
        <w:rPr>
          <w:color w:val="000000"/>
          <w:sz w:val="24"/>
          <w:szCs w:val="24"/>
        </w:rPr>
        <w:t xml:space="preserve"> se na svém zasedání dne </w:t>
      </w:r>
      <w:proofErr w:type="gramStart"/>
      <w:r w:rsidR="000E4125">
        <w:rPr>
          <w:color w:val="000000"/>
          <w:sz w:val="24"/>
          <w:szCs w:val="24"/>
        </w:rPr>
        <w:t>22.11.2023</w:t>
      </w:r>
      <w:proofErr w:type="gramEnd"/>
      <w:r w:rsidR="00405BF2">
        <w:rPr>
          <w:color w:val="000000"/>
          <w:sz w:val="24"/>
          <w:szCs w:val="24"/>
        </w:rPr>
        <w:t xml:space="preserve"> usnesením č. </w:t>
      </w:r>
      <w:r w:rsidR="000E4125">
        <w:rPr>
          <w:color w:val="000000"/>
          <w:sz w:val="24"/>
          <w:szCs w:val="24"/>
        </w:rPr>
        <w:t xml:space="preserve">5 </w:t>
      </w:r>
      <w:r>
        <w:rPr>
          <w:color w:val="000000"/>
          <w:sz w:val="24"/>
          <w:szCs w:val="24"/>
        </w:rPr>
        <w:t>usnesla vydat na základě  ustanovení</w:t>
      </w:r>
      <w:r w:rsidRPr="00C86E25">
        <w:rPr>
          <w:color w:val="000000"/>
          <w:sz w:val="24"/>
          <w:szCs w:val="24"/>
        </w:rPr>
        <w:t xml:space="preserve"> § 18 odst. 3 zákona č. </w:t>
      </w:r>
      <w:r w:rsidRPr="00C86E25">
        <w:rPr>
          <w:rFonts w:eastAsia="Calibri"/>
          <w:color w:val="000000"/>
          <w:sz w:val="24"/>
          <w:szCs w:val="24"/>
          <w:lang w:eastAsia="en-US"/>
        </w:rPr>
        <w:t xml:space="preserve">455/1991 </w:t>
      </w:r>
      <w:r>
        <w:rPr>
          <w:rFonts w:eastAsia="Calibri"/>
          <w:color w:val="000000"/>
          <w:sz w:val="24"/>
          <w:szCs w:val="24"/>
          <w:lang w:eastAsia="en-US"/>
        </w:rPr>
        <w:t>Sb., o </w:t>
      </w:r>
      <w:r w:rsidRPr="00C86E25">
        <w:rPr>
          <w:rFonts w:eastAsia="Calibri"/>
          <w:color w:val="000000"/>
          <w:sz w:val="24"/>
          <w:szCs w:val="24"/>
          <w:lang w:eastAsia="en-US"/>
        </w:rPr>
        <w:t>živnostenském podnikání (živnostenský zákon), ve znění pozdějších předpisů</w:t>
      </w:r>
      <w:r>
        <w:rPr>
          <w:rFonts w:eastAsia="Calibri"/>
          <w:color w:val="000000"/>
          <w:sz w:val="24"/>
          <w:szCs w:val="24"/>
          <w:lang w:eastAsia="en-US"/>
        </w:rPr>
        <w:t>,</w:t>
      </w:r>
      <w:r w:rsidRPr="00C86E25">
        <w:rPr>
          <w:color w:val="000000"/>
          <w:sz w:val="24"/>
          <w:szCs w:val="24"/>
        </w:rPr>
        <w:t xml:space="preserve"> a v souladu</w:t>
      </w:r>
      <w:r>
        <w:rPr>
          <w:color w:val="000000"/>
          <w:sz w:val="24"/>
          <w:szCs w:val="24"/>
        </w:rPr>
        <w:t xml:space="preserve"> s ustanovením § 11 odst. 1 a § 102 odst. 2 písm. d) </w:t>
      </w:r>
      <w:r w:rsidRPr="00C86E25">
        <w:rPr>
          <w:color w:val="000000"/>
          <w:sz w:val="24"/>
          <w:szCs w:val="24"/>
        </w:rPr>
        <w:t>zákona č. 128/2000 Sb., o obcích (obecní zřízení), ve znění pozdějších předpisů, toto nařízení</w:t>
      </w:r>
      <w:r w:rsidRPr="00C86E25">
        <w:rPr>
          <w:sz w:val="24"/>
          <w:szCs w:val="24"/>
        </w:rPr>
        <w:t>:</w:t>
      </w:r>
    </w:p>
    <w:p w:rsidR="004A1FD3" w:rsidRDefault="004A1FD3" w:rsidP="004A1FD3">
      <w:pPr>
        <w:adjustRightInd w:val="0"/>
        <w:jc w:val="both"/>
        <w:rPr>
          <w:rFonts w:ascii="Bold" w:eastAsia="Calibri" w:hAnsi="Bold" w:cs="TimesNewRoman,Bold"/>
          <w:b/>
          <w:bCs/>
          <w:color w:val="000000"/>
          <w:sz w:val="24"/>
          <w:szCs w:val="24"/>
          <w:lang w:eastAsia="en-US"/>
        </w:rPr>
      </w:pPr>
    </w:p>
    <w:p w:rsidR="004A1FD3" w:rsidRPr="00C86E25" w:rsidRDefault="004A1FD3" w:rsidP="004A1FD3">
      <w:pPr>
        <w:adjustRightInd w:val="0"/>
        <w:jc w:val="both"/>
        <w:rPr>
          <w:rFonts w:ascii="Bold" w:eastAsia="Calibri" w:hAnsi="Bold" w:cs="TimesNewRoman,Bold"/>
          <w:b/>
          <w:bCs/>
          <w:color w:val="000000"/>
          <w:sz w:val="24"/>
          <w:szCs w:val="24"/>
          <w:lang w:eastAsia="en-US"/>
        </w:rPr>
      </w:pPr>
    </w:p>
    <w:p w:rsidR="004A1FD3" w:rsidRDefault="004A1FD3" w:rsidP="004A1FD3">
      <w:pPr>
        <w:jc w:val="center"/>
        <w:rPr>
          <w:b/>
          <w:bCs/>
          <w:snapToGrid w:val="0"/>
          <w:sz w:val="24"/>
          <w:szCs w:val="24"/>
        </w:rPr>
      </w:pPr>
    </w:p>
    <w:p w:rsidR="004A1FD3" w:rsidRPr="003028E1" w:rsidRDefault="004A1FD3" w:rsidP="004A1FD3">
      <w:pPr>
        <w:pStyle w:val="Default"/>
        <w:jc w:val="center"/>
        <w:rPr>
          <w:b/>
        </w:rPr>
      </w:pPr>
      <w:r w:rsidRPr="003028E1">
        <w:rPr>
          <w:b/>
        </w:rPr>
        <w:t>Čl. 1</w:t>
      </w:r>
    </w:p>
    <w:p w:rsidR="004A1FD3" w:rsidRPr="003028E1" w:rsidRDefault="004A1FD3" w:rsidP="004A1FD3">
      <w:pPr>
        <w:pStyle w:val="Default"/>
        <w:jc w:val="center"/>
        <w:rPr>
          <w:b/>
        </w:rPr>
      </w:pPr>
      <w:r w:rsidRPr="003028E1">
        <w:rPr>
          <w:b/>
        </w:rPr>
        <w:t>Úvodní ustanovení</w:t>
      </w:r>
    </w:p>
    <w:p w:rsidR="004A1FD3" w:rsidRDefault="004A1FD3" w:rsidP="004A1FD3">
      <w:pPr>
        <w:pStyle w:val="Default"/>
      </w:pPr>
    </w:p>
    <w:p w:rsidR="004A1FD3" w:rsidRPr="00083FC6" w:rsidRDefault="004A1FD3" w:rsidP="004A1FD3">
      <w:pPr>
        <w:pStyle w:val="Default"/>
        <w:numPr>
          <w:ilvl w:val="0"/>
          <w:numId w:val="3"/>
        </w:numPr>
        <w:jc w:val="both"/>
      </w:pPr>
      <w:r>
        <w:t xml:space="preserve">Předmětem tohoto nařízení obce </w:t>
      </w:r>
      <w:r w:rsidRPr="00083FC6">
        <w:t>(dále jen „nařízení“) je stanovit, které druhy prodeje zboží nebo poskytování služeb prováděné mimo provozovnu určenou k tomuto účelu kolaudačním rozhodnutím podle zvláštního zákona</w:t>
      </w:r>
      <w:r>
        <w:rPr>
          <w:rStyle w:val="Znakapoznpodarou"/>
        </w:rPr>
        <w:footnoteReference w:id="1"/>
      </w:r>
      <w:r>
        <w:rPr>
          <w:vertAlign w:val="superscript"/>
        </w:rPr>
        <w:t>)</w:t>
      </w:r>
      <w:r w:rsidR="00B815AD">
        <w:t xml:space="preserve"> </w:t>
      </w:r>
      <w:r>
        <w:t xml:space="preserve">na území obce </w:t>
      </w:r>
      <w:r w:rsidR="00C32D4A">
        <w:t>Vikýřovice</w:t>
      </w:r>
      <w:r w:rsidRPr="00083FC6">
        <w:t xml:space="preserve"> jsou zakázány. </w:t>
      </w:r>
    </w:p>
    <w:p w:rsidR="004A1FD3" w:rsidRPr="00406B8E" w:rsidRDefault="004A1FD3" w:rsidP="004A1FD3">
      <w:pPr>
        <w:jc w:val="both"/>
        <w:rPr>
          <w:rFonts w:eastAsia="Calibri"/>
          <w:b/>
          <w:sz w:val="24"/>
          <w:szCs w:val="24"/>
        </w:rPr>
      </w:pPr>
    </w:p>
    <w:p w:rsidR="004A1FD3" w:rsidRPr="00406B8E" w:rsidRDefault="004A1FD3" w:rsidP="004A1FD3">
      <w:pPr>
        <w:numPr>
          <w:ilvl w:val="0"/>
          <w:numId w:val="3"/>
        </w:numPr>
        <w:ind w:left="714" w:hanging="357"/>
        <w:rPr>
          <w:rFonts w:eastAsia="Calibri"/>
          <w:sz w:val="24"/>
          <w:szCs w:val="24"/>
        </w:rPr>
      </w:pPr>
      <w:r w:rsidRPr="00406B8E">
        <w:rPr>
          <w:rFonts w:eastAsia="Calibri"/>
          <w:sz w:val="24"/>
          <w:szCs w:val="24"/>
        </w:rPr>
        <w:t xml:space="preserve">Účelem tohoto nařízení je nenarušování ochrany obydlí, zajištění veřejného pořádku a zvýšení bezpečnosti obyvatel obce </w:t>
      </w:r>
      <w:r w:rsidR="00C32D4A">
        <w:rPr>
          <w:rFonts w:eastAsia="Calibri"/>
          <w:sz w:val="24"/>
          <w:szCs w:val="24"/>
        </w:rPr>
        <w:t>Vikýřovice.</w:t>
      </w:r>
    </w:p>
    <w:p w:rsidR="004A1FD3" w:rsidRDefault="004A1FD3" w:rsidP="004A1FD3">
      <w:pPr>
        <w:rPr>
          <w:b/>
          <w:bCs/>
          <w:snapToGrid w:val="0"/>
          <w:sz w:val="24"/>
          <w:szCs w:val="24"/>
        </w:rPr>
      </w:pPr>
    </w:p>
    <w:p w:rsidR="004A1FD3" w:rsidRDefault="004A1FD3" w:rsidP="004A1FD3">
      <w:pPr>
        <w:jc w:val="center"/>
        <w:rPr>
          <w:b/>
          <w:bCs/>
          <w:snapToGrid w:val="0"/>
          <w:sz w:val="24"/>
          <w:szCs w:val="24"/>
        </w:rPr>
      </w:pPr>
    </w:p>
    <w:p w:rsidR="004A1FD3" w:rsidRPr="003028E1" w:rsidRDefault="004A1FD3" w:rsidP="004A1FD3">
      <w:pPr>
        <w:jc w:val="center"/>
        <w:rPr>
          <w:b/>
          <w:snapToGrid w:val="0"/>
          <w:sz w:val="24"/>
          <w:szCs w:val="24"/>
        </w:rPr>
      </w:pPr>
      <w:r w:rsidRPr="003028E1">
        <w:rPr>
          <w:b/>
          <w:snapToGrid w:val="0"/>
          <w:sz w:val="24"/>
          <w:szCs w:val="24"/>
        </w:rPr>
        <w:t xml:space="preserve">Čl. </w:t>
      </w:r>
      <w:r>
        <w:rPr>
          <w:b/>
          <w:snapToGrid w:val="0"/>
          <w:sz w:val="24"/>
          <w:szCs w:val="24"/>
        </w:rPr>
        <w:t>2</w:t>
      </w:r>
    </w:p>
    <w:p w:rsidR="004A1FD3" w:rsidRDefault="004A1FD3" w:rsidP="004A1FD3">
      <w:pPr>
        <w:adjustRightInd w:val="0"/>
        <w:spacing w:after="12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028E1">
        <w:rPr>
          <w:rFonts w:eastAsia="Calibri"/>
          <w:b/>
          <w:bCs/>
          <w:sz w:val="24"/>
          <w:szCs w:val="24"/>
          <w:lang w:eastAsia="en-US"/>
        </w:rPr>
        <w:t>Vymezení pojmů</w:t>
      </w:r>
    </w:p>
    <w:p w:rsidR="004A1FD3" w:rsidRPr="003028E1" w:rsidRDefault="004A1FD3" w:rsidP="004A1FD3">
      <w:pPr>
        <w:pStyle w:val="Default"/>
      </w:pPr>
      <w:r w:rsidRPr="00083FC6">
        <w:t xml:space="preserve">Pro účely tohoto nařízení se vymezují pojmy: </w:t>
      </w:r>
    </w:p>
    <w:p w:rsidR="004A1FD3" w:rsidRPr="0017258E" w:rsidRDefault="004A1FD3" w:rsidP="004A1FD3">
      <w:pPr>
        <w:numPr>
          <w:ilvl w:val="0"/>
          <w:numId w:val="1"/>
        </w:numPr>
        <w:adjustRightInd w:val="0"/>
        <w:jc w:val="both"/>
        <w:rPr>
          <w:snapToGrid w:val="0"/>
          <w:sz w:val="24"/>
          <w:szCs w:val="24"/>
        </w:rPr>
      </w:pPr>
      <w:r w:rsidRPr="006305C6">
        <w:rPr>
          <w:rFonts w:eastAsia="Calibri"/>
          <w:sz w:val="24"/>
          <w:szCs w:val="24"/>
          <w:lang w:eastAsia="en-US"/>
        </w:rPr>
        <w:t xml:space="preserve">Podomním prodejem se rozumí </w:t>
      </w:r>
      <w:r w:rsidRPr="006305C6">
        <w:rPr>
          <w:sz w:val="24"/>
          <w:szCs w:val="24"/>
        </w:rPr>
        <w:t>prodej zboží či poskytování služeb nebo nabízení prodeje zboží či poskytování služeb</w:t>
      </w:r>
      <w:r w:rsidRPr="006305C6">
        <w:rPr>
          <w:rFonts w:eastAsia="Calibri"/>
          <w:sz w:val="24"/>
          <w:szCs w:val="24"/>
          <w:lang w:eastAsia="en-US"/>
        </w:rPr>
        <w:t xml:space="preserve"> </w:t>
      </w:r>
      <w:r w:rsidRPr="006305C6">
        <w:rPr>
          <w:sz w:val="24"/>
          <w:szCs w:val="24"/>
        </w:rPr>
        <w:t xml:space="preserve">provozovaný bez pevného stanoviště obchůzkou jednotlivých bytů, domů, budov apod. </w:t>
      </w:r>
      <w:r w:rsidRPr="006305C6">
        <w:rPr>
          <w:rFonts w:eastAsia="Calibri"/>
          <w:sz w:val="24"/>
          <w:szCs w:val="24"/>
          <w:lang w:eastAsia="en-US"/>
        </w:rPr>
        <w:t xml:space="preserve">bez předchozí objednávky. </w:t>
      </w:r>
    </w:p>
    <w:p w:rsidR="004A1FD3" w:rsidRPr="006305C6" w:rsidRDefault="004A1FD3" w:rsidP="004A1FD3">
      <w:pPr>
        <w:adjustRightInd w:val="0"/>
        <w:ind w:left="720"/>
        <w:jc w:val="both"/>
        <w:rPr>
          <w:snapToGrid w:val="0"/>
          <w:sz w:val="24"/>
          <w:szCs w:val="24"/>
        </w:rPr>
      </w:pPr>
    </w:p>
    <w:p w:rsidR="004A1FD3" w:rsidRPr="00C74DC6" w:rsidRDefault="004A1FD3" w:rsidP="004A1FD3">
      <w:pPr>
        <w:numPr>
          <w:ilvl w:val="0"/>
          <w:numId w:val="1"/>
        </w:num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74DC6">
        <w:rPr>
          <w:sz w:val="24"/>
          <w:szCs w:val="24"/>
        </w:rPr>
        <w:t xml:space="preserve">Pochůzkovým prodejem </w:t>
      </w:r>
      <w:r>
        <w:rPr>
          <w:sz w:val="24"/>
          <w:szCs w:val="24"/>
        </w:rPr>
        <w:t>se rozumí</w:t>
      </w:r>
      <w:r w:rsidRPr="00C74DC6">
        <w:rPr>
          <w:sz w:val="24"/>
          <w:szCs w:val="24"/>
        </w:rPr>
        <w:t xml:space="preserve"> prodej zboží nebo poskytování služeb nebo nabízen</w:t>
      </w:r>
      <w:r>
        <w:rPr>
          <w:sz w:val="24"/>
          <w:szCs w:val="24"/>
        </w:rPr>
        <w:t>í</w:t>
      </w:r>
      <w:r w:rsidRPr="00C74DC6">
        <w:rPr>
          <w:sz w:val="24"/>
          <w:szCs w:val="24"/>
        </w:rPr>
        <w:t xml:space="preserve"> prodeje zboží či poskytování služeb</w:t>
      </w:r>
      <w:r>
        <w:rPr>
          <w:sz w:val="24"/>
          <w:szCs w:val="24"/>
        </w:rPr>
        <w:t xml:space="preserve"> na veřejném prostranství</w:t>
      </w:r>
      <w:r w:rsidRPr="00C74DC6">
        <w:rPr>
          <w:sz w:val="24"/>
          <w:szCs w:val="24"/>
        </w:rPr>
        <w:t xml:space="preserve"> s použitím přenosného nebo neseného zařízení (konstrukce, tyče, závěsného pultu, ze zavazadel, tašek a podobný</w:t>
      </w:r>
      <w:r>
        <w:rPr>
          <w:sz w:val="24"/>
          <w:szCs w:val="24"/>
        </w:rPr>
        <w:t xml:space="preserve">ch zařízení) nebo přímo z ruky, </w:t>
      </w:r>
      <w:r w:rsidRPr="003028E1">
        <w:rPr>
          <w:rFonts w:eastAsia="Calibri"/>
          <w:sz w:val="24"/>
          <w:szCs w:val="24"/>
          <w:lang w:eastAsia="en-US"/>
        </w:rPr>
        <w:t>přičemž n</w:t>
      </w:r>
      <w:r w:rsidRPr="003028E1">
        <w:rPr>
          <w:sz w:val="24"/>
          <w:szCs w:val="24"/>
        </w:rPr>
        <w:t>ení rozhodující, zda ten, kdo zboží nebo služby prodává či nabízí, se přemísťuje nebo postává na míst</w:t>
      </w:r>
      <w:r>
        <w:rPr>
          <w:sz w:val="24"/>
          <w:szCs w:val="24"/>
        </w:rPr>
        <w:t>ě.</w:t>
      </w:r>
    </w:p>
    <w:p w:rsidR="004A1FD3" w:rsidRDefault="004A1FD3" w:rsidP="004A1FD3">
      <w:pPr>
        <w:pStyle w:val="Default"/>
        <w:ind w:left="720"/>
      </w:pPr>
    </w:p>
    <w:p w:rsidR="004A1FD3" w:rsidRPr="00C74DC6" w:rsidRDefault="004A1FD3" w:rsidP="004A1FD3">
      <w:pPr>
        <w:pStyle w:val="Default"/>
        <w:ind w:left="720"/>
      </w:pPr>
    </w:p>
    <w:p w:rsidR="004A1FD3" w:rsidRDefault="004A1FD3" w:rsidP="004A1FD3">
      <w:pPr>
        <w:jc w:val="center"/>
        <w:rPr>
          <w:b/>
          <w:snapToGrid w:val="0"/>
          <w:sz w:val="24"/>
          <w:szCs w:val="24"/>
        </w:rPr>
      </w:pPr>
    </w:p>
    <w:p w:rsidR="004A1FD3" w:rsidRPr="00C74DC6" w:rsidRDefault="004A1FD3" w:rsidP="004A1FD3">
      <w:pPr>
        <w:jc w:val="center"/>
        <w:rPr>
          <w:b/>
          <w:snapToGrid w:val="0"/>
          <w:sz w:val="24"/>
          <w:szCs w:val="24"/>
        </w:rPr>
      </w:pPr>
      <w:r w:rsidRPr="00C74DC6">
        <w:rPr>
          <w:b/>
          <w:snapToGrid w:val="0"/>
          <w:sz w:val="24"/>
          <w:szCs w:val="24"/>
        </w:rPr>
        <w:t>Čl. 3</w:t>
      </w:r>
    </w:p>
    <w:p w:rsidR="004A1FD3" w:rsidRPr="00C74DC6" w:rsidRDefault="004A1FD3" w:rsidP="004A1FD3">
      <w:pPr>
        <w:jc w:val="center"/>
        <w:rPr>
          <w:b/>
          <w:sz w:val="24"/>
          <w:szCs w:val="24"/>
        </w:rPr>
      </w:pPr>
      <w:r w:rsidRPr="00C74DC6">
        <w:rPr>
          <w:b/>
          <w:sz w:val="24"/>
          <w:szCs w:val="24"/>
        </w:rPr>
        <w:t>Zakázané druhy prodeje zboží a poskytování služeb</w:t>
      </w:r>
    </w:p>
    <w:p w:rsidR="004A1FD3" w:rsidRDefault="004A1FD3" w:rsidP="004A1FD3">
      <w:pPr>
        <w:pStyle w:val="Default"/>
        <w:jc w:val="both"/>
      </w:pPr>
    </w:p>
    <w:p w:rsidR="004A1FD3" w:rsidRPr="00277BC6" w:rsidRDefault="004A1FD3" w:rsidP="004A1FD3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Na území obce </w:t>
      </w:r>
      <w:r w:rsidR="00C32D4A">
        <w:rPr>
          <w:rFonts w:eastAsia="Calibri"/>
          <w:sz w:val="24"/>
          <w:szCs w:val="24"/>
          <w:lang w:eastAsia="en-US"/>
        </w:rPr>
        <w:t>Vikýřovice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277BC6">
        <w:rPr>
          <w:rFonts w:eastAsia="Calibri"/>
          <w:sz w:val="24"/>
          <w:szCs w:val="24"/>
          <w:lang w:eastAsia="en-US"/>
        </w:rPr>
        <w:t>se podomní prod</w:t>
      </w:r>
      <w:r>
        <w:rPr>
          <w:rFonts w:eastAsia="Calibri"/>
          <w:sz w:val="24"/>
          <w:szCs w:val="24"/>
          <w:lang w:eastAsia="en-US"/>
        </w:rPr>
        <w:t>ej a pochůzkový prodej zakazují.</w:t>
      </w:r>
    </w:p>
    <w:p w:rsidR="004A1FD3" w:rsidRDefault="004A1FD3" w:rsidP="004A1FD3">
      <w:pPr>
        <w:pStyle w:val="Default"/>
        <w:jc w:val="both"/>
      </w:pPr>
    </w:p>
    <w:p w:rsidR="004A1FD3" w:rsidRPr="004C007F" w:rsidRDefault="004A1FD3" w:rsidP="004A1FD3">
      <w:pPr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bookmarkStart w:id="0" w:name="_GoBack"/>
      <w:bookmarkEnd w:id="0"/>
      <w:r w:rsidRPr="004C007F">
        <w:rPr>
          <w:rFonts w:eastAsia="Calibri"/>
          <w:b/>
          <w:bCs/>
          <w:sz w:val="24"/>
          <w:szCs w:val="24"/>
          <w:lang w:eastAsia="en-US"/>
        </w:rPr>
        <w:lastRenderedPageBreak/>
        <w:t>Čl. 4</w:t>
      </w:r>
    </w:p>
    <w:p w:rsidR="004A1FD3" w:rsidRPr="004C007F" w:rsidRDefault="004A1FD3" w:rsidP="004A1FD3">
      <w:pPr>
        <w:spacing w:after="120"/>
        <w:jc w:val="center"/>
        <w:rPr>
          <w:bCs/>
          <w:snapToGrid w:val="0"/>
          <w:sz w:val="24"/>
          <w:szCs w:val="24"/>
        </w:rPr>
      </w:pPr>
      <w:r w:rsidRPr="00455693">
        <w:rPr>
          <w:b/>
          <w:bCs/>
          <w:snapToGrid w:val="0"/>
          <w:color w:val="000000"/>
          <w:sz w:val="24"/>
          <w:szCs w:val="24"/>
        </w:rPr>
        <w:t>P</w:t>
      </w:r>
      <w:r w:rsidRPr="00455693">
        <w:rPr>
          <w:b/>
          <w:bCs/>
          <w:snapToGrid w:val="0"/>
          <w:sz w:val="24"/>
          <w:szCs w:val="24"/>
        </w:rPr>
        <w:t>r</w:t>
      </w:r>
      <w:r w:rsidRPr="004F2068">
        <w:rPr>
          <w:b/>
          <w:bCs/>
          <w:snapToGrid w:val="0"/>
          <w:sz w:val="24"/>
          <w:szCs w:val="24"/>
        </w:rPr>
        <w:t>odej</w:t>
      </w:r>
      <w:r w:rsidRPr="004C007F">
        <w:rPr>
          <w:b/>
          <w:bCs/>
          <w:snapToGrid w:val="0"/>
          <w:sz w:val="24"/>
          <w:szCs w:val="24"/>
        </w:rPr>
        <w:t xml:space="preserve"> zboží a poskytování služeb, na které se toto nařízení nevztahuje</w:t>
      </w:r>
    </w:p>
    <w:p w:rsidR="004A1FD3" w:rsidRPr="00B815AD" w:rsidRDefault="004A1FD3" w:rsidP="00B815AD">
      <w:pPr>
        <w:jc w:val="both"/>
        <w:rPr>
          <w:snapToGrid w:val="0"/>
          <w:sz w:val="24"/>
          <w:szCs w:val="24"/>
        </w:rPr>
      </w:pPr>
      <w:r w:rsidRPr="004C007F">
        <w:rPr>
          <w:sz w:val="24"/>
          <w:szCs w:val="24"/>
        </w:rPr>
        <w:t>Toto nařízení se nevztahuje</w:t>
      </w:r>
      <w:r>
        <w:rPr>
          <w:sz w:val="24"/>
          <w:szCs w:val="24"/>
        </w:rPr>
        <w:t xml:space="preserve"> na</w:t>
      </w:r>
      <w:r w:rsidRPr="004C007F">
        <w:rPr>
          <w:sz w:val="24"/>
          <w:szCs w:val="24"/>
        </w:rPr>
        <w:t>:</w:t>
      </w:r>
    </w:p>
    <w:p w:rsidR="004A1FD3" w:rsidRPr="00B815AD" w:rsidRDefault="00B815AD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  <w:szCs w:val="24"/>
        </w:rPr>
      </w:pPr>
      <w:r w:rsidRPr="00B815AD">
        <w:rPr>
          <w:color w:val="000000" w:themeColor="text1"/>
          <w:sz w:val="24"/>
          <w:szCs w:val="24"/>
        </w:rPr>
        <w:t>a</w:t>
      </w:r>
      <w:r w:rsidR="004A1FD3" w:rsidRPr="00B815AD">
        <w:rPr>
          <w:color w:val="000000" w:themeColor="text1"/>
          <w:sz w:val="24"/>
          <w:szCs w:val="24"/>
        </w:rPr>
        <w:t>)</w:t>
      </w:r>
      <w:r w:rsidR="004A1FD3" w:rsidRPr="00B815AD">
        <w:rPr>
          <w:color w:val="000000" w:themeColor="text1"/>
          <w:sz w:val="24"/>
          <w:szCs w:val="24"/>
        </w:rPr>
        <w:tab/>
        <w:t>akce organizované podle zákona č. 117/2001 Sb., o veřejných sbírkách a o změně některých zákonů, ve znění pozdějších předpisů,</w:t>
      </w:r>
    </w:p>
    <w:p w:rsidR="004A1FD3" w:rsidRPr="00B815AD" w:rsidRDefault="00B815AD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</w:rPr>
      </w:pPr>
      <w:r w:rsidRPr="00B815AD">
        <w:rPr>
          <w:color w:val="000000" w:themeColor="text1"/>
          <w:sz w:val="24"/>
          <w:szCs w:val="24"/>
        </w:rPr>
        <w:t>b</w:t>
      </w:r>
      <w:r w:rsidR="004A1FD3" w:rsidRPr="00B815AD">
        <w:rPr>
          <w:color w:val="000000" w:themeColor="text1"/>
          <w:sz w:val="24"/>
          <w:szCs w:val="24"/>
        </w:rPr>
        <w:t>)</w:t>
      </w:r>
      <w:r w:rsidR="004A1FD3" w:rsidRPr="00B815AD">
        <w:rPr>
          <w:color w:val="000000" w:themeColor="text1"/>
          <w:sz w:val="24"/>
          <w:szCs w:val="24"/>
        </w:rPr>
        <w:tab/>
        <w:t>nabízení služeb podle nařízení vlády č.</w:t>
      </w:r>
      <w:r w:rsidR="004A1FD3" w:rsidRPr="00B815AD">
        <w:rPr>
          <w:color w:val="000000" w:themeColor="text1"/>
          <w:sz w:val="24"/>
        </w:rPr>
        <w:t xml:space="preserve"> 91/2010 Sb., o podmínkách požární bezpečnosti při provozu komínů, kouřovodů a spotřebič</w:t>
      </w:r>
      <w:r w:rsidRPr="00B815AD">
        <w:rPr>
          <w:color w:val="000000" w:themeColor="text1"/>
          <w:sz w:val="24"/>
        </w:rPr>
        <w:t>ů paliv.</w:t>
      </w:r>
    </w:p>
    <w:p w:rsidR="004A1FD3" w:rsidRPr="00B815AD" w:rsidRDefault="004A1FD3" w:rsidP="004A1FD3">
      <w:pPr>
        <w:tabs>
          <w:tab w:val="num" w:pos="964"/>
        </w:tabs>
        <w:ind w:left="964" w:hanging="397"/>
        <w:jc w:val="both"/>
        <w:rPr>
          <w:snapToGrid w:val="0"/>
          <w:color w:val="000000" w:themeColor="text1"/>
          <w:sz w:val="24"/>
          <w:szCs w:val="24"/>
        </w:rPr>
      </w:pPr>
    </w:p>
    <w:p w:rsidR="004A1FD3" w:rsidRPr="00B815AD" w:rsidRDefault="004A1FD3" w:rsidP="004A1FD3">
      <w:pPr>
        <w:autoSpaceDE w:val="0"/>
        <w:autoSpaceDN w:val="0"/>
        <w:adjustRightInd w:val="0"/>
        <w:jc w:val="both"/>
        <w:rPr>
          <w:color w:val="000000" w:themeColor="text1"/>
          <w:sz w:val="21"/>
          <w:szCs w:val="21"/>
        </w:rPr>
      </w:pPr>
    </w:p>
    <w:p w:rsidR="004A1FD3" w:rsidRPr="00284FED" w:rsidRDefault="004A1FD3" w:rsidP="004A1FD3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Čl. 5</w:t>
      </w:r>
    </w:p>
    <w:p w:rsidR="004A1FD3" w:rsidRPr="00284FED" w:rsidRDefault="004A1FD3" w:rsidP="004A1FD3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Závěrečná ustanovení</w:t>
      </w:r>
    </w:p>
    <w:p w:rsidR="004A1FD3" w:rsidRDefault="004A1FD3" w:rsidP="004A1FD3">
      <w:pPr>
        <w:pStyle w:val="Default"/>
        <w:jc w:val="center"/>
        <w:rPr>
          <w:color w:val="auto"/>
        </w:rPr>
      </w:pPr>
    </w:p>
    <w:p w:rsidR="004A1FD3" w:rsidRPr="00C74DC6" w:rsidRDefault="004A1FD3" w:rsidP="004A1FD3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t>Porušení povinností stanovených tímto nařízením se postihuje podle zvláštních právních předpisů</w:t>
      </w:r>
      <w:r w:rsidRPr="004F2068">
        <w:rPr>
          <w:rStyle w:val="Znakapoznpodarou"/>
        </w:rPr>
        <w:footnoteReference w:id="2"/>
      </w:r>
      <w:r w:rsidRPr="004F2068">
        <w:rPr>
          <w:vertAlign w:val="superscript"/>
        </w:rPr>
        <w:t>)</w:t>
      </w:r>
      <w:r>
        <w:t>.</w:t>
      </w:r>
    </w:p>
    <w:p w:rsidR="004A1FD3" w:rsidRPr="00C74DC6" w:rsidRDefault="004A1FD3" w:rsidP="004A1FD3">
      <w:pPr>
        <w:pStyle w:val="Default"/>
        <w:ind w:left="720"/>
        <w:jc w:val="both"/>
        <w:rPr>
          <w:color w:val="auto"/>
        </w:rPr>
      </w:pPr>
    </w:p>
    <w:p w:rsidR="004A1FD3" w:rsidRDefault="004A1FD3" w:rsidP="00C32D4A">
      <w:pPr>
        <w:pStyle w:val="Default"/>
        <w:numPr>
          <w:ilvl w:val="0"/>
          <w:numId w:val="2"/>
        </w:numPr>
        <w:jc w:val="both"/>
        <w:rPr>
          <w:snapToGrid w:val="0"/>
        </w:rPr>
      </w:pPr>
      <w:r w:rsidRPr="00C74DC6">
        <w:rPr>
          <w:color w:val="auto"/>
        </w:rPr>
        <w:t xml:space="preserve">Toto nařízení nabývá účinnosti </w:t>
      </w:r>
      <w:r w:rsidR="00B815AD">
        <w:rPr>
          <w:color w:val="auto"/>
        </w:rPr>
        <w:t>dnem 1. ledna 2024</w:t>
      </w:r>
      <w:r w:rsidR="00C32D4A">
        <w:rPr>
          <w:color w:val="auto"/>
        </w:rPr>
        <w:t>.</w:t>
      </w:r>
      <w:r w:rsidR="00C32D4A">
        <w:rPr>
          <w:snapToGrid w:val="0"/>
        </w:rPr>
        <w:t xml:space="preserve"> </w:t>
      </w:r>
    </w:p>
    <w:p w:rsidR="00B815AD" w:rsidRDefault="00B815AD" w:rsidP="00B815AD">
      <w:pPr>
        <w:pStyle w:val="Default"/>
        <w:jc w:val="both"/>
        <w:rPr>
          <w:snapToGrid w:val="0"/>
        </w:rPr>
      </w:pPr>
    </w:p>
    <w:p w:rsidR="00B815AD" w:rsidRDefault="00B815AD" w:rsidP="00B815AD">
      <w:pPr>
        <w:pStyle w:val="Default"/>
        <w:jc w:val="both"/>
        <w:rPr>
          <w:snapToGrid w:val="0"/>
        </w:rPr>
      </w:pPr>
    </w:p>
    <w:p w:rsidR="00B815AD" w:rsidRDefault="00B815AD" w:rsidP="00B815AD">
      <w:pPr>
        <w:pStyle w:val="Default"/>
        <w:jc w:val="both"/>
        <w:rPr>
          <w:snapToGrid w:val="0"/>
        </w:rPr>
      </w:pPr>
    </w:p>
    <w:p w:rsidR="004A1FD3" w:rsidRDefault="004A1FD3" w:rsidP="004A1FD3">
      <w:pPr>
        <w:jc w:val="both"/>
        <w:rPr>
          <w:snapToGrid w:val="0"/>
          <w:sz w:val="24"/>
          <w:szCs w:val="24"/>
        </w:rPr>
      </w:pPr>
    </w:p>
    <w:p w:rsidR="004A1FD3" w:rsidRDefault="004A1FD3" w:rsidP="004A1FD3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.......................................................                       ................................................</w:t>
      </w:r>
    </w:p>
    <w:p w:rsidR="004A1FD3" w:rsidRDefault="004A1FD3" w:rsidP="004A1FD3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</w:t>
      </w:r>
      <w:r w:rsidR="00C32D4A">
        <w:rPr>
          <w:snapToGrid w:val="0"/>
          <w:sz w:val="24"/>
          <w:szCs w:val="24"/>
        </w:rPr>
        <w:t>Pavla Dudková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 w:rsidR="00C32D4A">
        <w:rPr>
          <w:snapToGrid w:val="0"/>
          <w:sz w:val="24"/>
          <w:szCs w:val="24"/>
        </w:rPr>
        <w:t>Václav Mazánek</w:t>
      </w:r>
    </w:p>
    <w:p w:rsidR="004A1FD3" w:rsidRDefault="004A1FD3" w:rsidP="004A1FD3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  </w:t>
      </w:r>
      <w:proofErr w:type="gramStart"/>
      <w:r>
        <w:rPr>
          <w:snapToGrid w:val="0"/>
          <w:sz w:val="24"/>
          <w:szCs w:val="24"/>
        </w:rPr>
        <w:t>místostarosta                                                                 starosta</w:t>
      </w:r>
      <w:proofErr w:type="gramEnd"/>
    </w:p>
    <w:p w:rsidR="004A1FD3" w:rsidRDefault="004A1FD3" w:rsidP="004A1FD3">
      <w:pPr>
        <w:rPr>
          <w:snapToGrid w:val="0"/>
          <w:sz w:val="24"/>
          <w:szCs w:val="24"/>
        </w:rPr>
      </w:pPr>
    </w:p>
    <w:p w:rsidR="004A1FD3" w:rsidRDefault="004A1FD3" w:rsidP="004A1FD3">
      <w:pPr>
        <w:rPr>
          <w:snapToGrid w:val="0"/>
          <w:sz w:val="24"/>
          <w:szCs w:val="24"/>
        </w:rPr>
      </w:pPr>
    </w:p>
    <w:p w:rsidR="004A1FD3" w:rsidRPr="00F738F9" w:rsidRDefault="004A1FD3" w:rsidP="004A1FD3">
      <w:pPr>
        <w:rPr>
          <w:sz w:val="24"/>
          <w:szCs w:val="24"/>
        </w:rPr>
      </w:pPr>
      <w:r w:rsidRPr="00F738F9">
        <w:rPr>
          <w:sz w:val="24"/>
          <w:szCs w:val="24"/>
        </w:rPr>
        <w:t>Vyv</w:t>
      </w:r>
      <w:r>
        <w:rPr>
          <w:sz w:val="24"/>
          <w:szCs w:val="24"/>
        </w:rPr>
        <w:t xml:space="preserve">ěšeno na úřední desce dne: </w:t>
      </w:r>
    </w:p>
    <w:p w:rsidR="004A1FD3" w:rsidRPr="00F738F9" w:rsidRDefault="004A1FD3" w:rsidP="004A1FD3">
      <w:pPr>
        <w:rPr>
          <w:sz w:val="24"/>
          <w:szCs w:val="24"/>
        </w:rPr>
      </w:pPr>
    </w:p>
    <w:p w:rsidR="004A1FD3" w:rsidRPr="00F738F9" w:rsidRDefault="004A1FD3" w:rsidP="004A1FD3">
      <w:pPr>
        <w:rPr>
          <w:sz w:val="24"/>
          <w:szCs w:val="24"/>
        </w:rPr>
      </w:pPr>
      <w:r>
        <w:rPr>
          <w:sz w:val="24"/>
          <w:szCs w:val="24"/>
        </w:rPr>
        <w:t xml:space="preserve">Sejmuto z úřední desky dne: </w:t>
      </w:r>
      <w:r w:rsidRPr="00F738F9">
        <w:rPr>
          <w:sz w:val="24"/>
          <w:szCs w:val="24"/>
        </w:rPr>
        <w:t xml:space="preserve">   </w:t>
      </w:r>
    </w:p>
    <w:p w:rsidR="004A1FD3" w:rsidRPr="00F738F9" w:rsidRDefault="004A1FD3" w:rsidP="004A1FD3">
      <w:pPr>
        <w:rPr>
          <w:sz w:val="24"/>
          <w:szCs w:val="24"/>
        </w:rPr>
      </w:pPr>
    </w:p>
    <w:p w:rsidR="004A1FD3" w:rsidRDefault="004A1FD3" w:rsidP="004A1FD3">
      <w:pPr>
        <w:rPr>
          <w:snapToGrid w:val="0"/>
          <w:sz w:val="24"/>
          <w:szCs w:val="24"/>
        </w:rPr>
      </w:pPr>
      <w:r w:rsidRPr="00F738F9">
        <w:rPr>
          <w:sz w:val="24"/>
          <w:szCs w:val="24"/>
        </w:rPr>
        <w:t>Současně zveřejněno na elektronické úřední desce</w:t>
      </w:r>
      <w:r>
        <w:rPr>
          <w:sz w:val="24"/>
          <w:szCs w:val="24"/>
        </w:rPr>
        <w:t>.</w:t>
      </w:r>
    </w:p>
    <w:p w:rsidR="00353840" w:rsidRDefault="00353840"/>
    <w:sectPr w:rsidR="00353840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776" w:rsidRDefault="000C1776" w:rsidP="004A1FD3">
      <w:r>
        <w:separator/>
      </w:r>
    </w:p>
  </w:endnote>
  <w:endnote w:type="continuationSeparator" w:id="0">
    <w:p w:rsidR="000C1776" w:rsidRDefault="000C1776" w:rsidP="004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776" w:rsidRDefault="000C1776" w:rsidP="004A1FD3">
      <w:r>
        <w:separator/>
      </w:r>
    </w:p>
  </w:footnote>
  <w:footnote w:type="continuationSeparator" w:id="0">
    <w:p w:rsidR="000C1776" w:rsidRDefault="000C1776" w:rsidP="004A1FD3">
      <w:r>
        <w:continuationSeparator/>
      </w:r>
    </w:p>
  </w:footnote>
  <w:footnote w:id="1">
    <w:p w:rsidR="004A1FD3" w:rsidRPr="00417B2C" w:rsidRDefault="004A1FD3" w:rsidP="004A1FD3">
      <w:pPr>
        <w:pStyle w:val="Textpoznpodarou"/>
        <w:rPr>
          <w:sz w:val="22"/>
        </w:rPr>
      </w:pPr>
      <w:r w:rsidRPr="004F2068">
        <w:rPr>
          <w:rStyle w:val="Znakapoznpodarou"/>
        </w:rPr>
        <w:footnoteRef/>
      </w:r>
      <w:r w:rsidRPr="004F2068">
        <w:rPr>
          <w:vertAlign w:val="superscript"/>
        </w:rPr>
        <w:t>)</w:t>
      </w:r>
      <w:r>
        <w:t xml:space="preserve"> 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 předpisů</w:t>
      </w:r>
      <w:r>
        <w:rPr>
          <w:szCs w:val="18"/>
        </w:rPr>
        <w:t>.</w:t>
      </w:r>
    </w:p>
  </w:footnote>
  <w:footnote w:id="2">
    <w:p w:rsidR="004A1FD3" w:rsidRDefault="004A1FD3" w:rsidP="004A1FD3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Pr="00C0112D">
        <w:t xml:space="preserve">§ 46 odst. 1 zákona č. 200/1990 Sb., o přestupcích, ve znění pozdějších předpisů, § 58 odst. 4 zákona </w:t>
      </w:r>
    </w:p>
    <w:p w:rsidR="004A1FD3" w:rsidRDefault="004A1FD3" w:rsidP="004A1FD3">
      <w:pPr>
        <w:pStyle w:val="Textpoznpodarou"/>
      </w:pPr>
      <w:r>
        <w:t xml:space="preserve">    </w:t>
      </w:r>
      <w:r w:rsidRPr="00C0112D">
        <w:t>č.</w:t>
      </w:r>
      <w:r>
        <w:t> </w:t>
      </w:r>
      <w:r w:rsidRPr="00C0112D">
        <w:t>128/2000 Sb., o obcích</w:t>
      </w:r>
      <w:r>
        <w:t xml:space="preserve"> </w:t>
      </w:r>
      <w:r w:rsidRPr="00C0112D">
        <w:rPr>
          <w:color w:val="000000"/>
        </w:rPr>
        <w:t>(obecní zřízení)</w:t>
      </w:r>
      <w:r w:rsidRPr="00C0112D">
        <w:t>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D3"/>
    <w:rsid w:val="000C1776"/>
    <w:rsid w:val="000E4125"/>
    <w:rsid w:val="00353840"/>
    <w:rsid w:val="00405BF2"/>
    <w:rsid w:val="004A1FD3"/>
    <w:rsid w:val="00B815AD"/>
    <w:rsid w:val="00C32D4A"/>
    <w:rsid w:val="00E0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C43FD-8AD9-42B6-8396-5EFB23DD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A1FD3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A1F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A1FD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A1F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4A1FD3"/>
    <w:rPr>
      <w:rFonts w:cs="Times New Roman"/>
      <w:vertAlign w:val="superscript"/>
    </w:rPr>
  </w:style>
  <w:style w:type="paragraph" w:customStyle="1" w:styleId="Default">
    <w:name w:val="Default"/>
    <w:rsid w:val="004A1F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10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103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391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Jechová</dc:creator>
  <cp:keywords/>
  <dc:description/>
  <cp:lastModifiedBy>Jarmila Pospíšilová</cp:lastModifiedBy>
  <cp:revision>5</cp:revision>
  <cp:lastPrinted>2023-12-04T13:42:00Z</cp:lastPrinted>
  <dcterms:created xsi:type="dcterms:W3CDTF">2023-11-01T11:17:00Z</dcterms:created>
  <dcterms:modified xsi:type="dcterms:W3CDTF">2023-12-04T13:49:00Z</dcterms:modified>
</cp:coreProperties>
</file>