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B3" w:rsidRPr="002921B3" w:rsidRDefault="002921B3" w:rsidP="00641DD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Nařízení obce 1 -</w:t>
      </w:r>
      <w:r w:rsidRPr="002921B3">
        <w:rPr>
          <w:rFonts w:ascii="Times New Roman" w:eastAsia="Times New Roman" w:hAnsi="Times New Roman" w:cs="Times New Roman"/>
          <w:b/>
          <w:bCs/>
          <w:sz w:val="36"/>
          <w:szCs w:val="36"/>
          <w:lang w:eastAsia="cs-CZ"/>
        </w:rPr>
        <w:t>2016</w:t>
      </w:r>
    </w:p>
    <w:p w:rsidR="002921B3" w:rsidRDefault="002921B3" w:rsidP="00641DD1">
      <w:pPr>
        <w:spacing w:after="0" w:line="240" w:lineRule="auto"/>
        <w:jc w:val="center"/>
        <w:rPr>
          <w:rFonts w:ascii="Times New Roman" w:eastAsia="Times New Roman" w:hAnsi="Times New Roman" w:cs="Times New Roman"/>
          <w:sz w:val="24"/>
          <w:szCs w:val="24"/>
          <w:lang w:eastAsia="cs-CZ"/>
        </w:rPr>
      </w:pPr>
      <w:r w:rsidRPr="002921B3">
        <w:rPr>
          <w:rFonts w:ascii="Times New Roman" w:eastAsia="Times New Roman" w:hAnsi="Times New Roman" w:cs="Times New Roman"/>
          <w:sz w:val="24"/>
          <w:szCs w:val="24"/>
          <w:lang w:eastAsia="cs-CZ"/>
        </w:rPr>
        <w:t>Zákaz podomního prodeje</w:t>
      </w:r>
    </w:p>
    <w:p w:rsidR="00641DD1" w:rsidRDefault="00641DD1" w:rsidP="00641DD1">
      <w:pPr>
        <w:spacing w:after="0" w:line="240" w:lineRule="auto"/>
        <w:jc w:val="center"/>
        <w:rPr>
          <w:rFonts w:ascii="Times New Roman" w:eastAsia="Times New Roman" w:hAnsi="Times New Roman" w:cs="Times New Roman"/>
          <w:sz w:val="24"/>
          <w:szCs w:val="24"/>
          <w:lang w:eastAsia="cs-CZ"/>
        </w:rPr>
      </w:pPr>
    </w:p>
    <w:p w:rsidR="00641DD1" w:rsidRPr="002921B3" w:rsidRDefault="00641DD1" w:rsidP="00641DD1">
      <w:pPr>
        <w:spacing w:after="0" w:line="240" w:lineRule="auto"/>
        <w:jc w:val="center"/>
        <w:rPr>
          <w:rFonts w:ascii="Times New Roman" w:eastAsia="Times New Roman" w:hAnsi="Times New Roman" w:cs="Times New Roman"/>
          <w:sz w:val="24"/>
          <w:szCs w:val="24"/>
          <w:lang w:eastAsia="cs-CZ"/>
        </w:rPr>
      </w:pPr>
    </w:p>
    <w:p w:rsidR="002921B3" w:rsidRPr="002921B3" w:rsidRDefault="002921B3" w:rsidP="002921B3">
      <w:pPr>
        <w:spacing w:after="160" w:line="240" w:lineRule="auto"/>
        <w:jc w:val="center"/>
        <w:rPr>
          <w:rFonts w:ascii="Times New Roman" w:eastAsia="Times New Roman" w:hAnsi="Times New Roman" w:cs="Times New Roman"/>
          <w:b/>
          <w:sz w:val="28"/>
          <w:szCs w:val="24"/>
          <w:lang w:eastAsia="cs-CZ"/>
        </w:rPr>
      </w:pPr>
      <w:r w:rsidRPr="002921B3">
        <w:rPr>
          <w:rFonts w:ascii="Arial" w:eastAsia="Times New Roman" w:hAnsi="Arial" w:cs="Arial"/>
          <w:b/>
          <w:sz w:val="28"/>
          <w:szCs w:val="24"/>
          <w:lang w:eastAsia="cs-CZ"/>
        </w:rPr>
        <w:t>Nařízení obce Blízkov č. 1/2016</w:t>
      </w:r>
    </w:p>
    <w:p w:rsidR="002921B3" w:rsidRDefault="002921B3" w:rsidP="002921B3">
      <w:pPr>
        <w:spacing w:after="160" w:line="240" w:lineRule="auto"/>
        <w:jc w:val="center"/>
        <w:rPr>
          <w:rFonts w:ascii="Arial" w:eastAsia="Times New Roman" w:hAnsi="Arial" w:cs="Arial"/>
          <w:b/>
          <w:sz w:val="24"/>
          <w:szCs w:val="24"/>
          <w:lang w:eastAsia="cs-CZ"/>
        </w:rPr>
      </w:pPr>
      <w:r w:rsidRPr="002921B3">
        <w:rPr>
          <w:rFonts w:ascii="Arial" w:eastAsia="Times New Roman" w:hAnsi="Arial" w:cs="Arial"/>
          <w:b/>
          <w:sz w:val="24"/>
          <w:szCs w:val="24"/>
          <w:lang w:eastAsia="cs-CZ"/>
        </w:rPr>
        <w:t>o zákazu podomního a pochůzkového prodeje na území obce.</w:t>
      </w:r>
    </w:p>
    <w:p w:rsidR="00641DD1" w:rsidRPr="002921B3" w:rsidRDefault="00641DD1" w:rsidP="00DB0762">
      <w:pPr>
        <w:spacing w:after="160"/>
        <w:jc w:val="center"/>
        <w:rPr>
          <w:rFonts w:ascii="Times New Roman" w:eastAsia="Times New Roman" w:hAnsi="Times New Roman" w:cs="Times New Roman"/>
          <w:sz w:val="24"/>
          <w:szCs w:val="24"/>
          <w:lang w:eastAsia="cs-CZ"/>
        </w:rPr>
      </w:pPr>
    </w:p>
    <w:p w:rsidR="002921B3" w:rsidRDefault="00641DD1" w:rsidP="00DB0762">
      <w:pPr>
        <w:spacing w:after="160"/>
        <w:jc w:val="both"/>
        <w:rPr>
          <w:rFonts w:ascii="Arial" w:eastAsia="Times New Roman" w:hAnsi="Arial" w:cs="Arial"/>
          <w:sz w:val="24"/>
          <w:szCs w:val="24"/>
          <w:lang w:eastAsia="cs-CZ"/>
        </w:rPr>
      </w:pPr>
      <w:r>
        <w:rPr>
          <w:rFonts w:ascii="Arial" w:eastAsia="Times New Roman" w:hAnsi="Arial" w:cs="Arial"/>
          <w:color w:val="000000"/>
          <w:sz w:val="24"/>
          <w:szCs w:val="24"/>
          <w:lang w:eastAsia="cs-CZ"/>
        </w:rPr>
        <w:t>Zastupitelstvo obce Blízkov</w:t>
      </w:r>
      <w:r w:rsidR="002921B3" w:rsidRPr="002921B3">
        <w:rPr>
          <w:rFonts w:ascii="Arial" w:eastAsia="Times New Roman" w:hAnsi="Arial" w:cs="Arial"/>
          <w:color w:val="000000"/>
          <w:sz w:val="24"/>
          <w:szCs w:val="24"/>
          <w:lang w:eastAsia="cs-CZ"/>
        </w:rPr>
        <w:t xml:space="preserve"> na svém zasedání dne </w:t>
      </w:r>
      <w:r w:rsidR="002921B3">
        <w:rPr>
          <w:rFonts w:ascii="Arial" w:eastAsia="Times New Roman" w:hAnsi="Arial" w:cs="Arial"/>
          <w:sz w:val="24"/>
          <w:szCs w:val="24"/>
          <w:lang w:eastAsia="cs-CZ"/>
        </w:rPr>
        <w:t>16. 10</w:t>
      </w:r>
      <w:r w:rsidR="002921B3" w:rsidRPr="002921B3">
        <w:rPr>
          <w:rFonts w:ascii="Arial" w:eastAsia="Times New Roman" w:hAnsi="Arial" w:cs="Arial"/>
          <w:sz w:val="24"/>
          <w:szCs w:val="24"/>
          <w:lang w:eastAsia="cs-CZ"/>
        </w:rPr>
        <w:t xml:space="preserve">. 2016 schvaluje a vydává v souladu s </w:t>
      </w:r>
      <w:proofErr w:type="spellStart"/>
      <w:r w:rsidR="002921B3" w:rsidRPr="002921B3">
        <w:rPr>
          <w:rFonts w:ascii="Arial" w:eastAsia="Times New Roman" w:hAnsi="Arial" w:cs="Arial"/>
          <w:sz w:val="24"/>
          <w:szCs w:val="24"/>
          <w:lang w:eastAsia="cs-CZ"/>
        </w:rPr>
        <w:t>ust</w:t>
      </w:r>
      <w:proofErr w:type="spellEnd"/>
      <w:r w:rsidR="002921B3" w:rsidRPr="002921B3">
        <w:rPr>
          <w:rFonts w:ascii="Arial" w:eastAsia="Times New Roman" w:hAnsi="Arial" w:cs="Arial"/>
          <w:sz w:val="24"/>
          <w:szCs w:val="24"/>
          <w:lang w:eastAsia="cs-CZ"/>
        </w:rPr>
        <w:t xml:space="preserve">. § 18 odst. 3) zákona č. 455/1991 Sb., o živnostenském podnikání (živnostenský zákon), ve znění pozdějších předpisů, v souladu s </w:t>
      </w:r>
      <w:proofErr w:type="spellStart"/>
      <w:r w:rsidR="002921B3" w:rsidRPr="002921B3">
        <w:rPr>
          <w:rFonts w:ascii="Arial" w:eastAsia="Times New Roman" w:hAnsi="Arial" w:cs="Arial"/>
          <w:sz w:val="24"/>
          <w:szCs w:val="24"/>
          <w:lang w:eastAsia="cs-CZ"/>
        </w:rPr>
        <w:t>ust</w:t>
      </w:r>
      <w:proofErr w:type="spellEnd"/>
      <w:r w:rsidR="002921B3" w:rsidRPr="002921B3">
        <w:rPr>
          <w:rFonts w:ascii="Arial" w:eastAsia="Times New Roman" w:hAnsi="Arial" w:cs="Arial"/>
          <w:sz w:val="24"/>
          <w:szCs w:val="24"/>
          <w:lang w:eastAsia="cs-CZ"/>
        </w:rPr>
        <w:t xml:space="preserve">. § 11 odst. 1) a § 102 odst. 2) písm. d) zákona č. 128/2000 Sb., o obcích (obecní zřízení), ve znění pozdějších předpisů, toto nařízení: </w:t>
      </w:r>
    </w:p>
    <w:p w:rsidR="00641DD1" w:rsidRPr="002921B3" w:rsidRDefault="00641DD1" w:rsidP="002921B3">
      <w:pPr>
        <w:spacing w:after="160" w:line="240" w:lineRule="auto"/>
        <w:jc w:val="both"/>
        <w:rPr>
          <w:rFonts w:ascii="Times New Roman" w:eastAsia="Times New Roman" w:hAnsi="Times New Roman" w:cs="Times New Roman"/>
          <w:sz w:val="24"/>
          <w:szCs w:val="24"/>
          <w:lang w:eastAsia="cs-CZ"/>
        </w:rPr>
      </w:pPr>
    </w:p>
    <w:p w:rsidR="002921B3" w:rsidRPr="002921B3" w:rsidRDefault="002921B3" w:rsidP="002921B3">
      <w:pPr>
        <w:spacing w:after="160" w:line="240" w:lineRule="auto"/>
        <w:jc w:val="center"/>
        <w:rPr>
          <w:rFonts w:ascii="Times New Roman" w:eastAsia="Times New Roman" w:hAnsi="Times New Roman" w:cs="Times New Roman"/>
          <w:sz w:val="24"/>
          <w:szCs w:val="24"/>
          <w:lang w:eastAsia="cs-CZ"/>
        </w:rPr>
      </w:pPr>
      <w:r w:rsidRPr="002921B3">
        <w:rPr>
          <w:rFonts w:ascii="Arial" w:eastAsia="Times New Roman" w:hAnsi="Arial" w:cs="Arial"/>
          <w:b/>
          <w:sz w:val="24"/>
          <w:szCs w:val="24"/>
          <w:lang w:eastAsia="cs-CZ"/>
        </w:rPr>
        <w:t>Čl. 1</w:t>
      </w:r>
    </w:p>
    <w:p w:rsidR="002921B3" w:rsidRPr="002921B3" w:rsidRDefault="002921B3" w:rsidP="002921B3">
      <w:pPr>
        <w:spacing w:after="160" w:line="240" w:lineRule="auto"/>
        <w:jc w:val="center"/>
        <w:rPr>
          <w:rFonts w:ascii="Times New Roman" w:eastAsia="Times New Roman" w:hAnsi="Times New Roman" w:cs="Times New Roman"/>
          <w:sz w:val="24"/>
          <w:szCs w:val="24"/>
          <w:lang w:eastAsia="cs-CZ"/>
        </w:rPr>
      </w:pPr>
      <w:r w:rsidRPr="002921B3">
        <w:rPr>
          <w:rFonts w:ascii="Arial" w:eastAsia="Times New Roman" w:hAnsi="Arial" w:cs="Arial"/>
          <w:b/>
          <w:sz w:val="24"/>
          <w:szCs w:val="24"/>
          <w:lang w:eastAsia="cs-CZ"/>
        </w:rPr>
        <w:t>Vymezení pojmů</w:t>
      </w:r>
    </w:p>
    <w:p w:rsidR="002921B3" w:rsidRPr="002921B3" w:rsidRDefault="002921B3" w:rsidP="00DB0762">
      <w:pPr>
        <w:spacing w:after="160"/>
        <w:jc w:val="both"/>
        <w:rPr>
          <w:rFonts w:ascii="Times New Roman" w:eastAsia="Times New Roman" w:hAnsi="Times New Roman" w:cs="Times New Roman"/>
          <w:sz w:val="24"/>
          <w:szCs w:val="24"/>
          <w:lang w:eastAsia="cs-CZ"/>
        </w:rPr>
      </w:pPr>
      <w:r w:rsidRPr="002921B3">
        <w:rPr>
          <w:rFonts w:ascii="Arial" w:eastAsia="Times New Roman" w:hAnsi="Arial" w:cs="Arial"/>
          <w:sz w:val="24"/>
          <w:szCs w:val="24"/>
          <w:lang w:eastAsia="cs-CZ"/>
        </w:rPr>
        <w:t xml:space="preserve">1. Podomním prodejem se rozumí prodej zboží či poskytování služeb nebo nabízení prodeje zboží či poskytování služeb, provozovaný bez pevného stanoviště obchůzkou jednotlivých bytů, domů, budov apod. bez předchozí objednávky. Podomním prodejem není prodej zboží či poskytování služeb nebo nabízení prodeje zboží či poskytování služeb, které jsou realizovány na základě předchozí objednávky uživatelem domu, bytu, budovy apod. </w:t>
      </w:r>
    </w:p>
    <w:p w:rsidR="002921B3" w:rsidRDefault="002921B3" w:rsidP="00DB0762">
      <w:pPr>
        <w:spacing w:after="160"/>
        <w:jc w:val="both"/>
        <w:rPr>
          <w:rFonts w:ascii="Arial" w:eastAsia="Times New Roman" w:hAnsi="Arial" w:cs="Arial"/>
          <w:sz w:val="24"/>
          <w:szCs w:val="24"/>
          <w:lang w:eastAsia="cs-CZ"/>
        </w:rPr>
      </w:pPr>
      <w:r w:rsidRPr="002921B3">
        <w:rPr>
          <w:rFonts w:ascii="Arial" w:eastAsia="Times New Roman" w:hAnsi="Arial" w:cs="Arial"/>
          <w:sz w:val="24"/>
          <w:szCs w:val="24"/>
          <w:lang w:eastAsia="cs-CZ"/>
        </w:rPr>
        <w:t xml:space="preserve">2. Pochůzkovým prodejem se rozumí prodej zboží či poskytování služeb nebo nabízení prodeje zboží či poskytování služeb mimo provozovnu určenou k tomuto účelu kolaudačním souhlasem podle zvláštního zákona1 s použitím přenosného nebo neseného zařízení (konstrukce, tyče, závěsného pultu, zavazadel, tašek a podobných zařízení) nebo přímo z ruky. Pochůzkový prodej je zpravidla provozován formou pochůzky, při níž je potenciální uživatel zboží nebo služeb vyhledáván prodejcem z okruhu osob na veřejném prostranství či veřejně přístupných místech, přičemž není rozhodující, zda ten, kdo zboží nebo služby prodává či nabízí, se přemísťuje nebo postává na místě. </w:t>
      </w:r>
    </w:p>
    <w:p w:rsidR="00641DD1" w:rsidRPr="002921B3" w:rsidRDefault="00641DD1" w:rsidP="002921B3">
      <w:pPr>
        <w:spacing w:after="160" w:line="240" w:lineRule="auto"/>
        <w:jc w:val="both"/>
        <w:rPr>
          <w:rFonts w:ascii="Times New Roman" w:eastAsia="Times New Roman" w:hAnsi="Times New Roman" w:cs="Times New Roman"/>
          <w:sz w:val="24"/>
          <w:szCs w:val="24"/>
          <w:lang w:eastAsia="cs-CZ"/>
        </w:rPr>
      </w:pPr>
    </w:p>
    <w:p w:rsidR="002921B3" w:rsidRPr="002921B3" w:rsidRDefault="002921B3" w:rsidP="002921B3">
      <w:pPr>
        <w:spacing w:after="160" w:line="240" w:lineRule="auto"/>
        <w:jc w:val="center"/>
        <w:rPr>
          <w:rFonts w:ascii="Times New Roman" w:eastAsia="Times New Roman" w:hAnsi="Times New Roman" w:cs="Times New Roman"/>
          <w:sz w:val="24"/>
          <w:szCs w:val="24"/>
          <w:lang w:eastAsia="cs-CZ"/>
        </w:rPr>
      </w:pPr>
      <w:r w:rsidRPr="002921B3">
        <w:rPr>
          <w:rFonts w:ascii="Arial" w:eastAsia="Times New Roman" w:hAnsi="Arial" w:cs="Arial"/>
          <w:b/>
          <w:sz w:val="24"/>
          <w:szCs w:val="24"/>
          <w:lang w:eastAsia="cs-CZ"/>
        </w:rPr>
        <w:t>Čl. 2</w:t>
      </w:r>
    </w:p>
    <w:p w:rsidR="002921B3" w:rsidRPr="002921B3" w:rsidRDefault="002921B3" w:rsidP="002921B3">
      <w:pPr>
        <w:spacing w:after="160" w:line="240" w:lineRule="auto"/>
        <w:jc w:val="center"/>
        <w:rPr>
          <w:rFonts w:ascii="Times New Roman" w:eastAsia="Times New Roman" w:hAnsi="Times New Roman" w:cs="Times New Roman"/>
          <w:sz w:val="24"/>
          <w:szCs w:val="24"/>
          <w:lang w:eastAsia="cs-CZ"/>
        </w:rPr>
      </w:pPr>
      <w:r w:rsidRPr="002921B3">
        <w:rPr>
          <w:rFonts w:ascii="Arial" w:eastAsia="Times New Roman" w:hAnsi="Arial" w:cs="Arial"/>
          <w:b/>
          <w:sz w:val="24"/>
          <w:szCs w:val="24"/>
          <w:lang w:eastAsia="cs-CZ"/>
        </w:rPr>
        <w:t>Zákaz podomního a pochůzkového prodeje</w:t>
      </w:r>
    </w:p>
    <w:p w:rsidR="002921B3" w:rsidRPr="002921B3" w:rsidRDefault="002921B3" w:rsidP="002921B3">
      <w:pPr>
        <w:spacing w:after="160" w:line="240" w:lineRule="auto"/>
        <w:jc w:val="both"/>
        <w:rPr>
          <w:rFonts w:ascii="Times New Roman" w:eastAsia="Times New Roman" w:hAnsi="Times New Roman" w:cs="Times New Roman"/>
          <w:sz w:val="24"/>
          <w:szCs w:val="24"/>
          <w:lang w:eastAsia="cs-CZ"/>
        </w:rPr>
      </w:pPr>
      <w:r>
        <w:rPr>
          <w:rFonts w:ascii="Arial" w:eastAsia="Times New Roman" w:hAnsi="Arial" w:cs="Arial"/>
          <w:sz w:val="24"/>
          <w:szCs w:val="24"/>
          <w:lang w:eastAsia="cs-CZ"/>
        </w:rPr>
        <w:t>1. Na území obce Blízkov a v místní části Dědkov</w:t>
      </w:r>
      <w:r w:rsidRPr="002921B3">
        <w:rPr>
          <w:rFonts w:ascii="Arial" w:eastAsia="Times New Roman" w:hAnsi="Arial" w:cs="Arial"/>
          <w:sz w:val="24"/>
          <w:szCs w:val="24"/>
          <w:lang w:eastAsia="cs-CZ"/>
        </w:rPr>
        <w:t xml:space="preserve"> se zakazuje podomní prodej. </w:t>
      </w:r>
    </w:p>
    <w:p w:rsidR="00641DD1" w:rsidRDefault="002921B3" w:rsidP="002921B3">
      <w:pPr>
        <w:spacing w:after="16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2. Na území obce Blízkov a v místní části Dědkov</w:t>
      </w:r>
      <w:r w:rsidRPr="002921B3">
        <w:rPr>
          <w:rFonts w:ascii="Arial" w:eastAsia="Times New Roman" w:hAnsi="Arial" w:cs="Arial"/>
          <w:sz w:val="24"/>
          <w:szCs w:val="24"/>
          <w:lang w:eastAsia="cs-CZ"/>
        </w:rPr>
        <w:t xml:space="preserve"> se zakazuje pochůzkový prodej.</w:t>
      </w:r>
    </w:p>
    <w:p w:rsidR="00641DD1" w:rsidRDefault="00641DD1" w:rsidP="002921B3">
      <w:pPr>
        <w:spacing w:after="160" w:line="240" w:lineRule="auto"/>
        <w:jc w:val="both"/>
        <w:rPr>
          <w:rFonts w:ascii="Arial" w:eastAsia="Times New Roman" w:hAnsi="Arial" w:cs="Arial"/>
          <w:sz w:val="24"/>
          <w:szCs w:val="24"/>
          <w:lang w:eastAsia="cs-CZ"/>
        </w:rPr>
      </w:pPr>
    </w:p>
    <w:p w:rsidR="00641DD1" w:rsidRDefault="00641DD1" w:rsidP="002921B3">
      <w:pPr>
        <w:spacing w:after="160" w:line="240" w:lineRule="auto"/>
        <w:jc w:val="both"/>
        <w:rPr>
          <w:rFonts w:ascii="Arial" w:eastAsia="Times New Roman" w:hAnsi="Arial" w:cs="Arial"/>
          <w:sz w:val="24"/>
          <w:szCs w:val="24"/>
          <w:lang w:eastAsia="cs-CZ"/>
        </w:rPr>
      </w:pPr>
    </w:p>
    <w:p w:rsidR="002921B3" w:rsidRPr="002921B3" w:rsidRDefault="002921B3" w:rsidP="002921B3">
      <w:pPr>
        <w:spacing w:after="160" w:line="240" w:lineRule="auto"/>
        <w:jc w:val="center"/>
        <w:rPr>
          <w:rFonts w:ascii="Times New Roman" w:eastAsia="Times New Roman" w:hAnsi="Times New Roman" w:cs="Times New Roman"/>
          <w:sz w:val="24"/>
          <w:szCs w:val="24"/>
          <w:lang w:eastAsia="cs-CZ"/>
        </w:rPr>
      </w:pPr>
      <w:r w:rsidRPr="002921B3">
        <w:rPr>
          <w:rFonts w:ascii="Arial" w:eastAsia="Times New Roman" w:hAnsi="Arial" w:cs="Arial"/>
          <w:b/>
          <w:sz w:val="24"/>
          <w:szCs w:val="24"/>
          <w:lang w:eastAsia="cs-CZ"/>
        </w:rPr>
        <w:lastRenderedPageBreak/>
        <w:t>Čl. 3</w:t>
      </w:r>
    </w:p>
    <w:p w:rsidR="002921B3" w:rsidRPr="002921B3" w:rsidRDefault="002921B3" w:rsidP="002921B3">
      <w:pPr>
        <w:spacing w:after="160" w:line="240" w:lineRule="auto"/>
        <w:jc w:val="center"/>
        <w:rPr>
          <w:rFonts w:ascii="Times New Roman" w:eastAsia="Times New Roman" w:hAnsi="Times New Roman" w:cs="Times New Roman"/>
          <w:sz w:val="24"/>
          <w:szCs w:val="24"/>
          <w:lang w:eastAsia="cs-CZ"/>
        </w:rPr>
      </w:pPr>
      <w:r w:rsidRPr="002921B3">
        <w:rPr>
          <w:rFonts w:ascii="Arial" w:eastAsia="Times New Roman" w:hAnsi="Arial" w:cs="Arial"/>
          <w:b/>
          <w:sz w:val="24"/>
          <w:szCs w:val="24"/>
          <w:lang w:eastAsia="cs-CZ"/>
        </w:rPr>
        <w:t>Druhy prodeje zboží a poskytování služeb a místa, na která se toto nařízení nevztahuje</w:t>
      </w:r>
    </w:p>
    <w:p w:rsidR="002921B3" w:rsidRPr="002921B3" w:rsidRDefault="002921B3" w:rsidP="00DB0762">
      <w:pPr>
        <w:spacing w:after="0"/>
        <w:jc w:val="both"/>
        <w:rPr>
          <w:rFonts w:ascii="Times New Roman" w:eastAsia="Times New Roman" w:hAnsi="Times New Roman" w:cs="Times New Roman"/>
          <w:sz w:val="24"/>
          <w:szCs w:val="24"/>
          <w:lang w:eastAsia="cs-CZ"/>
        </w:rPr>
      </w:pPr>
      <w:r w:rsidRPr="002921B3">
        <w:rPr>
          <w:rFonts w:ascii="Arial" w:eastAsia="Times New Roman" w:hAnsi="Arial" w:cs="Arial"/>
          <w:sz w:val="24"/>
          <w:szCs w:val="24"/>
          <w:lang w:eastAsia="cs-CZ"/>
        </w:rPr>
        <w:t xml:space="preserve">Zákaz uvedený v </w:t>
      </w:r>
      <w:proofErr w:type="spellStart"/>
      <w:r w:rsidRPr="002921B3">
        <w:rPr>
          <w:rFonts w:ascii="Arial" w:eastAsia="Times New Roman" w:hAnsi="Arial" w:cs="Arial"/>
          <w:sz w:val="24"/>
          <w:szCs w:val="24"/>
          <w:lang w:eastAsia="cs-CZ"/>
        </w:rPr>
        <w:t>ust</w:t>
      </w:r>
      <w:proofErr w:type="spellEnd"/>
      <w:r w:rsidRPr="002921B3">
        <w:rPr>
          <w:rFonts w:ascii="Arial" w:eastAsia="Times New Roman" w:hAnsi="Arial" w:cs="Arial"/>
          <w:sz w:val="24"/>
          <w:szCs w:val="24"/>
          <w:lang w:eastAsia="cs-CZ"/>
        </w:rPr>
        <w:t xml:space="preserve">. Čl. 2 odst. 2 toho to nařízení se nevztahuje: </w:t>
      </w:r>
    </w:p>
    <w:p w:rsidR="002921B3" w:rsidRPr="002921B3" w:rsidRDefault="002921B3" w:rsidP="00DB0762">
      <w:pPr>
        <w:spacing w:after="0"/>
        <w:jc w:val="both"/>
        <w:rPr>
          <w:rFonts w:ascii="Times New Roman" w:eastAsia="Times New Roman" w:hAnsi="Times New Roman" w:cs="Times New Roman"/>
          <w:sz w:val="24"/>
          <w:szCs w:val="24"/>
          <w:lang w:eastAsia="cs-CZ"/>
        </w:rPr>
      </w:pPr>
      <w:r w:rsidRPr="002921B3">
        <w:rPr>
          <w:rFonts w:ascii="Arial" w:eastAsia="Times New Roman" w:hAnsi="Arial" w:cs="Arial"/>
          <w:sz w:val="24"/>
          <w:szCs w:val="24"/>
          <w:lang w:eastAsia="cs-CZ"/>
        </w:rPr>
        <w:t xml:space="preserve">a) na ohlášené očkování domácích zvířat, </w:t>
      </w:r>
    </w:p>
    <w:p w:rsidR="002921B3" w:rsidRPr="002921B3" w:rsidRDefault="002921B3" w:rsidP="00DB0762">
      <w:pPr>
        <w:spacing w:after="0"/>
        <w:jc w:val="both"/>
        <w:rPr>
          <w:rFonts w:ascii="Times New Roman" w:eastAsia="Times New Roman" w:hAnsi="Times New Roman" w:cs="Times New Roman"/>
          <w:sz w:val="24"/>
          <w:szCs w:val="24"/>
          <w:lang w:eastAsia="cs-CZ"/>
        </w:rPr>
      </w:pPr>
      <w:r w:rsidRPr="002921B3">
        <w:rPr>
          <w:rFonts w:ascii="Arial" w:eastAsia="Times New Roman" w:hAnsi="Arial" w:cs="Arial"/>
          <w:sz w:val="24"/>
          <w:szCs w:val="24"/>
          <w:lang w:eastAsia="cs-CZ"/>
        </w:rPr>
        <w:t xml:space="preserve">b) na prodej v pojízdné prodejně a obdobném zařízení sloužícím k prodeji zboží nebo poskytování služeb, </w:t>
      </w:r>
    </w:p>
    <w:p w:rsidR="002921B3" w:rsidRDefault="002921B3" w:rsidP="00DB0762">
      <w:pPr>
        <w:spacing w:after="0"/>
        <w:jc w:val="both"/>
        <w:rPr>
          <w:rFonts w:ascii="Arial" w:eastAsia="Times New Roman" w:hAnsi="Arial" w:cs="Arial"/>
          <w:sz w:val="24"/>
          <w:szCs w:val="24"/>
          <w:lang w:eastAsia="cs-CZ"/>
        </w:rPr>
      </w:pPr>
      <w:r w:rsidRPr="002921B3">
        <w:rPr>
          <w:rFonts w:ascii="Arial" w:eastAsia="Times New Roman" w:hAnsi="Arial" w:cs="Arial"/>
          <w:sz w:val="24"/>
          <w:szCs w:val="24"/>
          <w:lang w:eastAsia="cs-CZ"/>
        </w:rPr>
        <w:t>c) na nabídku a prodej zboží a poskytování služeb při obecních a kulturních akcích, slavnostech, pouti, veřejných vystoupeních, sportovních soutěží</w:t>
      </w:r>
      <w:r w:rsidR="00641DD1">
        <w:rPr>
          <w:rFonts w:ascii="Arial" w:eastAsia="Times New Roman" w:hAnsi="Arial" w:cs="Arial"/>
          <w:sz w:val="24"/>
          <w:szCs w:val="24"/>
          <w:lang w:eastAsia="cs-CZ"/>
        </w:rPr>
        <w:t>.</w:t>
      </w:r>
    </w:p>
    <w:p w:rsidR="00641DD1" w:rsidRPr="002921B3" w:rsidRDefault="00641DD1" w:rsidP="00DB0762">
      <w:pPr>
        <w:spacing w:after="0" w:line="240" w:lineRule="auto"/>
        <w:jc w:val="both"/>
        <w:rPr>
          <w:rFonts w:ascii="Times New Roman" w:eastAsia="Times New Roman" w:hAnsi="Times New Roman" w:cs="Times New Roman"/>
          <w:sz w:val="24"/>
          <w:szCs w:val="24"/>
          <w:lang w:eastAsia="cs-CZ"/>
        </w:rPr>
      </w:pPr>
    </w:p>
    <w:p w:rsidR="002921B3" w:rsidRPr="002921B3" w:rsidRDefault="002921B3" w:rsidP="002921B3">
      <w:pPr>
        <w:spacing w:after="160" w:line="240" w:lineRule="auto"/>
        <w:jc w:val="center"/>
        <w:rPr>
          <w:rFonts w:ascii="Times New Roman" w:eastAsia="Times New Roman" w:hAnsi="Times New Roman" w:cs="Times New Roman"/>
          <w:sz w:val="24"/>
          <w:szCs w:val="24"/>
          <w:lang w:eastAsia="cs-CZ"/>
        </w:rPr>
      </w:pPr>
      <w:r w:rsidRPr="002921B3">
        <w:rPr>
          <w:rFonts w:ascii="Arial" w:eastAsia="Times New Roman" w:hAnsi="Arial" w:cs="Arial"/>
          <w:b/>
          <w:sz w:val="24"/>
          <w:szCs w:val="24"/>
          <w:lang w:eastAsia="cs-CZ"/>
        </w:rPr>
        <w:t>ČI. 4</w:t>
      </w:r>
    </w:p>
    <w:p w:rsidR="002921B3" w:rsidRPr="002921B3" w:rsidRDefault="002921B3" w:rsidP="002921B3">
      <w:pPr>
        <w:spacing w:after="160" w:line="240" w:lineRule="auto"/>
        <w:jc w:val="center"/>
        <w:rPr>
          <w:rFonts w:ascii="Times New Roman" w:eastAsia="Times New Roman" w:hAnsi="Times New Roman" w:cs="Times New Roman"/>
          <w:sz w:val="24"/>
          <w:szCs w:val="24"/>
          <w:lang w:eastAsia="cs-CZ"/>
        </w:rPr>
      </w:pPr>
      <w:r w:rsidRPr="002921B3">
        <w:rPr>
          <w:rFonts w:ascii="Arial" w:eastAsia="Times New Roman" w:hAnsi="Arial" w:cs="Arial"/>
          <w:b/>
          <w:sz w:val="24"/>
          <w:szCs w:val="24"/>
          <w:lang w:eastAsia="cs-CZ"/>
        </w:rPr>
        <w:t>Sankce</w:t>
      </w:r>
    </w:p>
    <w:p w:rsidR="002921B3" w:rsidRPr="002921B3" w:rsidRDefault="002921B3" w:rsidP="002921B3">
      <w:pPr>
        <w:spacing w:after="160" w:line="240" w:lineRule="auto"/>
        <w:jc w:val="both"/>
        <w:rPr>
          <w:rFonts w:ascii="Times New Roman" w:eastAsia="Times New Roman" w:hAnsi="Times New Roman" w:cs="Times New Roman"/>
          <w:sz w:val="24"/>
          <w:szCs w:val="24"/>
          <w:lang w:eastAsia="cs-CZ"/>
        </w:rPr>
      </w:pPr>
      <w:r w:rsidRPr="002921B3">
        <w:rPr>
          <w:rFonts w:ascii="Arial" w:eastAsia="Times New Roman" w:hAnsi="Arial" w:cs="Arial"/>
          <w:sz w:val="24"/>
          <w:szCs w:val="24"/>
          <w:lang w:eastAsia="cs-CZ"/>
        </w:rPr>
        <w:t xml:space="preserve">l. Poruší-li právnická osoba nebo fyzická osoba, která je podnikatelem, při výkonu podnikatelské činnosti povinnost stanovenou tímto nařízením, může jí být podle zvláštního právního předpisu uložena pokuta až do výše 200 000,- Kč. </w:t>
      </w:r>
    </w:p>
    <w:p w:rsidR="00DB0762" w:rsidRPr="002921B3" w:rsidRDefault="002921B3" w:rsidP="002921B3">
      <w:pPr>
        <w:spacing w:after="160" w:line="240" w:lineRule="auto"/>
        <w:jc w:val="both"/>
        <w:rPr>
          <w:rFonts w:ascii="Times New Roman" w:eastAsia="Times New Roman" w:hAnsi="Times New Roman" w:cs="Times New Roman"/>
          <w:sz w:val="24"/>
          <w:szCs w:val="24"/>
          <w:lang w:eastAsia="cs-CZ"/>
        </w:rPr>
      </w:pPr>
      <w:r w:rsidRPr="002921B3">
        <w:rPr>
          <w:rFonts w:ascii="Arial" w:eastAsia="Times New Roman" w:hAnsi="Arial" w:cs="Arial"/>
          <w:sz w:val="24"/>
          <w:szCs w:val="24"/>
          <w:lang w:eastAsia="cs-CZ"/>
        </w:rPr>
        <w:t xml:space="preserve">2. Poruší-li fyzická osoba povinnosti stanovené tímto nařízením, může jí být podle zvláštního právního předpisu uložena pokuta do výše 30 000,- Kč. </w:t>
      </w:r>
    </w:p>
    <w:p w:rsidR="002921B3" w:rsidRPr="002921B3" w:rsidRDefault="002921B3" w:rsidP="002921B3">
      <w:pPr>
        <w:spacing w:after="160" w:line="240" w:lineRule="auto"/>
        <w:jc w:val="center"/>
        <w:rPr>
          <w:rFonts w:ascii="Times New Roman" w:eastAsia="Times New Roman" w:hAnsi="Times New Roman" w:cs="Times New Roman"/>
          <w:sz w:val="24"/>
          <w:szCs w:val="24"/>
          <w:lang w:eastAsia="cs-CZ"/>
        </w:rPr>
      </w:pPr>
      <w:r w:rsidRPr="002921B3">
        <w:rPr>
          <w:rFonts w:ascii="Arial" w:eastAsia="Times New Roman" w:hAnsi="Arial" w:cs="Arial"/>
          <w:b/>
          <w:sz w:val="24"/>
          <w:szCs w:val="24"/>
          <w:lang w:eastAsia="cs-CZ"/>
        </w:rPr>
        <w:t>Čl. 5</w:t>
      </w:r>
    </w:p>
    <w:p w:rsidR="002921B3" w:rsidRPr="002921B3" w:rsidRDefault="002921B3" w:rsidP="002921B3">
      <w:pPr>
        <w:spacing w:after="160" w:line="240" w:lineRule="auto"/>
        <w:jc w:val="center"/>
        <w:rPr>
          <w:rFonts w:ascii="Times New Roman" w:eastAsia="Times New Roman" w:hAnsi="Times New Roman" w:cs="Times New Roman"/>
          <w:sz w:val="24"/>
          <w:szCs w:val="24"/>
          <w:lang w:eastAsia="cs-CZ"/>
        </w:rPr>
      </w:pPr>
      <w:r w:rsidRPr="002921B3">
        <w:rPr>
          <w:rFonts w:ascii="Arial" w:eastAsia="Times New Roman" w:hAnsi="Arial" w:cs="Arial"/>
          <w:b/>
          <w:sz w:val="24"/>
          <w:szCs w:val="24"/>
          <w:lang w:eastAsia="cs-CZ"/>
        </w:rPr>
        <w:t xml:space="preserve">Kontrola porušení Nařízení a způsob oznámení </w:t>
      </w:r>
    </w:p>
    <w:p w:rsidR="002921B3" w:rsidRDefault="002921B3" w:rsidP="002921B3">
      <w:pPr>
        <w:spacing w:before="120" w:after="160" w:line="288" w:lineRule="auto"/>
        <w:jc w:val="both"/>
        <w:rPr>
          <w:rFonts w:ascii="Arial" w:eastAsia="Times New Roman" w:hAnsi="Arial" w:cs="Arial"/>
          <w:sz w:val="24"/>
          <w:szCs w:val="24"/>
          <w:lang w:eastAsia="cs-CZ"/>
        </w:rPr>
      </w:pPr>
      <w:r w:rsidRPr="002921B3">
        <w:rPr>
          <w:rFonts w:ascii="Arial" w:eastAsia="Times New Roman" w:hAnsi="Arial" w:cs="Arial"/>
          <w:sz w:val="24"/>
          <w:szCs w:val="24"/>
          <w:lang w:eastAsia="cs-CZ"/>
        </w:rPr>
        <w:t>Kontrolu mohou provádět pověření členové zastupitelstva, kteří zjištění porušení Naří</w:t>
      </w:r>
      <w:r>
        <w:rPr>
          <w:rFonts w:ascii="Arial" w:eastAsia="Times New Roman" w:hAnsi="Arial" w:cs="Arial"/>
          <w:sz w:val="24"/>
          <w:szCs w:val="24"/>
          <w:lang w:eastAsia="cs-CZ"/>
        </w:rPr>
        <w:t>zení ohlásí na Obecní úřad Blízkov</w:t>
      </w:r>
      <w:r w:rsidRPr="002921B3">
        <w:rPr>
          <w:rFonts w:ascii="Arial" w:eastAsia="Times New Roman" w:hAnsi="Arial" w:cs="Arial"/>
          <w:sz w:val="24"/>
          <w:szCs w:val="24"/>
          <w:lang w:eastAsia="cs-CZ"/>
        </w:rPr>
        <w:t xml:space="preserve">, nebo přímo na Policii ČR. </w:t>
      </w:r>
    </w:p>
    <w:p w:rsidR="00641DD1" w:rsidRPr="002921B3" w:rsidRDefault="00641DD1" w:rsidP="002921B3">
      <w:pPr>
        <w:spacing w:before="120" w:after="160" w:line="288" w:lineRule="auto"/>
        <w:jc w:val="both"/>
        <w:rPr>
          <w:rFonts w:ascii="Times New Roman" w:eastAsia="Times New Roman" w:hAnsi="Times New Roman" w:cs="Times New Roman"/>
          <w:sz w:val="24"/>
          <w:szCs w:val="24"/>
          <w:lang w:eastAsia="cs-CZ"/>
        </w:rPr>
      </w:pPr>
    </w:p>
    <w:p w:rsidR="002921B3" w:rsidRPr="002921B3" w:rsidRDefault="002921B3" w:rsidP="002921B3">
      <w:pPr>
        <w:spacing w:after="160" w:line="240" w:lineRule="auto"/>
        <w:jc w:val="center"/>
        <w:rPr>
          <w:rFonts w:ascii="Times New Roman" w:eastAsia="Times New Roman" w:hAnsi="Times New Roman" w:cs="Times New Roman"/>
          <w:sz w:val="24"/>
          <w:szCs w:val="24"/>
          <w:lang w:eastAsia="cs-CZ"/>
        </w:rPr>
      </w:pPr>
      <w:r w:rsidRPr="002921B3">
        <w:rPr>
          <w:rFonts w:ascii="Arial" w:eastAsia="Times New Roman" w:hAnsi="Arial" w:cs="Arial"/>
          <w:b/>
          <w:sz w:val="24"/>
          <w:szCs w:val="24"/>
          <w:lang w:eastAsia="cs-CZ"/>
        </w:rPr>
        <w:t>Čl. 6</w:t>
      </w:r>
    </w:p>
    <w:p w:rsidR="002921B3" w:rsidRPr="002921B3" w:rsidRDefault="002921B3" w:rsidP="002921B3">
      <w:pPr>
        <w:spacing w:after="160" w:line="240" w:lineRule="auto"/>
        <w:jc w:val="center"/>
        <w:rPr>
          <w:rFonts w:ascii="Times New Roman" w:eastAsia="Times New Roman" w:hAnsi="Times New Roman" w:cs="Times New Roman"/>
          <w:sz w:val="24"/>
          <w:szCs w:val="24"/>
          <w:lang w:eastAsia="cs-CZ"/>
        </w:rPr>
      </w:pPr>
      <w:r w:rsidRPr="002921B3">
        <w:rPr>
          <w:rFonts w:ascii="Arial" w:eastAsia="Times New Roman" w:hAnsi="Arial" w:cs="Arial"/>
          <w:b/>
          <w:sz w:val="24"/>
          <w:szCs w:val="24"/>
          <w:lang w:eastAsia="cs-CZ"/>
        </w:rPr>
        <w:t>Účinnost</w:t>
      </w:r>
    </w:p>
    <w:p w:rsidR="002921B3" w:rsidRPr="002921B3" w:rsidRDefault="002921B3" w:rsidP="002921B3">
      <w:pPr>
        <w:spacing w:before="120" w:after="160" w:line="288" w:lineRule="auto"/>
        <w:jc w:val="both"/>
        <w:rPr>
          <w:rFonts w:ascii="Times New Roman" w:eastAsia="Times New Roman" w:hAnsi="Times New Roman" w:cs="Times New Roman"/>
          <w:sz w:val="24"/>
          <w:szCs w:val="24"/>
          <w:lang w:eastAsia="cs-CZ"/>
        </w:rPr>
      </w:pPr>
      <w:r w:rsidRPr="002921B3">
        <w:rPr>
          <w:rFonts w:ascii="Arial" w:eastAsia="Times New Roman" w:hAnsi="Arial" w:cs="Arial"/>
          <w:sz w:val="24"/>
          <w:szCs w:val="24"/>
          <w:lang w:eastAsia="cs-CZ"/>
        </w:rPr>
        <w:t>Tato vyhláška nabývá účinnosti patnáctým dnem po dni vyhlášení.</w:t>
      </w:r>
    </w:p>
    <w:p w:rsidR="00DB0762" w:rsidRDefault="00DB0762" w:rsidP="002921B3">
      <w:pPr>
        <w:tabs>
          <w:tab w:val="left" w:pos="1440"/>
          <w:tab w:val="left" w:pos="7020"/>
        </w:tabs>
        <w:spacing w:after="0" w:line="288" w:lineRule="auto"/>
        <w:jc w:val="both"/>
        <w:rPr>
          <w:rFonts w:ascii="Arial" w:eastAsia="Times New Roman" w:hAnsi="Arial" w:cs="Arial"/>
          <w:i/>
          <w:lang w:eastAsia="cs-CZ"/>
        </w:rPr>
      </w:pPr>
    </w:p>
    <w:p w:rsidR="002921B3" w:rsidRPr="002921B3" w:rsidRDefault="002921B3" w:rsidP="002921B3">
      <w:pPr>
        <w:tabs>
          <w:tab w:val="left" w:pos="1440"/>
          <w:tab w:val="left" w:pos="7020"/>
        </w:tabs>
        <w:spacing w:after="0" w:line="288" w:lineRule="auto"/>
        <w:jc w:val="both"/>
        <w:rPr>
          <w:rFonts w:ascii="Times New Roman" w:eastAsia="Times New Roman" w:hAnsi="Times New Roman" w:cs="Times New Roman"/>
          <w:sz w:val="24"/>
          <w:szCs w:val="24"/>
          <w:lang w:eastAsia="cs-CZ"/>
        </w:rPr>
      </w:pPr>
      <w:r w:rsidRPr="002921B3">
        <w:rPr>
          <w:rFonts w:ascii="Arial" w:eastAsia="Times New Roman" w:hAnsi="Arial" w:cs="Arial"/>
          <w:i/>
          <w:lang w:eastAsia="cs-CZ"/>
        </w:rPr>
        <w:tab/>
      </w:r>
      <w:r w:rsidRPr="002921B3">
        <w:rPr>
          <w:rFonts w:ascii="Arial" w:eastAsia="Times New Roman" w:hAnsi="Arial" w:cs="Arial"/>
          <w:i/>
          <w:lang w:eastAsia="cs-CZ"/>
        </w:rPr>
        <w:tab/>
      </w:r>
    </w:p>
    <w:p w:rsidR="002921B3" w:rsidRPr="002921B3" w:rsidRDefault="002921B3" w:rsidP="002921B3">
      <w:pPr>
        <w:tabs>
          <w:tab w:val="left" w:pos="720"/>
          <w:tab w:val="left" w:pos="6120"/>
        </w:tabs>
        <w:spacing w:after="0" w:line="288" w:lineRule="auto"/>
        <w:jc w:val="both"/>
        <w:rPr>
          <w:rFonts w:ascii="Times New Roman" w:eastAsia="Times New Roman" w:hAnsi="Times New Roman" w:cs="Times New Roman"/>
          <w:sz w:val="24"/>
          <w:szCs w:val="24"/>
          <w:lang w:eastAsia="cs-CZ"/>
        </w:rPr>
      </w:pPr>
      <w:r w:rsidRPr="002921B3">
        <w:rPr>
          <w:rFonts w:ascii="Arial" w:eastAsia="Times New Roman" w:hAnsi="Arial" w:cs="Arial"/>
          <w:i/>
          <w:lang w:eastAsia="cs-CZ"/>
        </w:rPr>
        <w:tab/>
        <w:t>...................................</w:t>
      </w:r>
      <w:r w:rsidRPr="002921B3">
        <w:rPr>
          <w:rFonts w:ascii="Arial" w:eastAsia="Times New Roman" w:hAnsi="Arial" w:cs="Arial"/>
          <w:i/>
          <w:lang w:eastAsia="cs-CZ"/>
        </w:rPr>
        <w:tab/>
        <w:t>..........................................</w:t>
      </w:r>
    </w:p>
    <w:p w:rsidR="002921B3" w:rsidRPr="002921B3" w:rsidRDefault="00641DD1" w:rsidP="002921B3">
      <w:pPr>
        <w:tabs>
          <w:tab w:val="left" w:pos="1080"/>
          <w:tab w:val="left" w:pos="6660"/>
        </w:tabs>
        <w:spacing w:after="0" w:line="288" w:lineRule="auto"/>
        <w:jc w:val="both"/>
        <w:rPr>
          <w:rFonts w:ascii="Times New Roman" w:eastAsia="Times New Roman" w:hAnsi="Times New Roman" w:cs="Times New Roman"/>
          <w:sz w:val="24"/>
          <w:szCs w:val="24"/>
          <w:lang w:eastAsia="cs-CZ"/>
        </w:rPr>
      </w:pPr>
      <w:r>
        <w:rPr>
          <w:rFonts w:ascii="Arial" w:eastAsia="Times New Roman" w:hAnsi="Arial" w:cs="Arial"/>
          <w:lang w:eastAsia="cs-CZ"/>
        </w:rPr>
        <w:tab/>
        <w:t>Miroslav Smejkal</w:t>
      </w:r>
      <w:r w:rsidR="002921B3" w:rsidRPr="002921B3">
        <w:rPr>
          <w:rFonts w:ascii="Arial" w:eastAsia="Times New Roman" w:hAnsi="Arial" w:cs="Arial"/>
          <w:lang w:eastAsia="cs-CZ"/>
        </w:rPr>
        <w:tab/>
      </w:r>
      <w:r>
        <w:rPr>
          <w:rFonts w:ascii="Arial" w:eastAsia="Times New Roman" w:hAnsi="Arial" w:cs="Arial"/>
          <w:lang w:eastAsia="cs-CZ"/>
        </w:rPr>
        <w:t>Stanislav Bradáč</w:t>
      </w:r>
    </w:p>
    <w:p w:rsidR="002921B3" w:rsidRDefault="002921B3" w:rsidP="002921B3">
      <w:pPr>
        <w:tabs>
          <w:tab w:val="left" w:pos="1080"/>
          <w:tab w:val="left" w:pos="7020"/>
        </w:tabs>
        <w:spacing w:after="0" w:line="288" w:lineRule="auto"/>
        <w:jc w:val="both"/>
        <w:rPr>
          <w:rFonts w:ascii="Arial" w:eastAsia="Times New Roman" w:hAnsi="Arial" w:cs="Arial"/>
          <w:lang w:eastAsia="cs-CZ"/>
        </w:rPr>
      </w:pPr>
      <w:r w:rsidRPr="002921B3">
        <w:rPr>
          <w:rFonts w:ascii="Arial" w:eastAsia="Times New Roman" w:hAnsi="Arial" w:cs="Arial"/>
          <w:lang w:eastAsia="cs-CZ"/>
        </w:rPr>
        <w:tab/>
      </w:r>
      <w:r w:rsidRPr="00DB0762">
        <w:rPr>
          <w:rFonts w:ascii="Arial" w:eastAsia="Times New Roman" w:hAnsi="Arial" w:cs="Arial"/>
          <w:sz w:val="20"/>
          <w:lang w:eastAsia="cs-CZ"/>
        </w:rPr>
        <w:t>místostarost</w:t>
      </w:r>
      <w:r w:rsidR="00641DD1" w:rsidRPr="00DB0762">
        <w:rPr>
          <w:rFonts w:ascii="Arial" w:eastAsia="Times New Roman" w:hAnsi="Arial" w:cs="Arial"/>
          <w:sz w:val="20"/>
          <w:lang w:eastAsia="cs-CZ"/>
        </w:rPr>
        <w:t>a</w:t>
      </w:r>
      <w:r w:rsidR="00641DD1" w:rsidRPr="00DB0762">
        <w:rPr>
          <w:rFonts w:ascii="Arial" w:eastAsia="Times New Roman" w:hAnsi="Arial" w:cs="Arial"/>
          <w:sz w:val="20"/>
          <w:lang w:eastAsia="cs-CZ"/>
        </w:rPr>
        <w:tab/>
        <w:t>starost</w:t>
      </w:r>
      <w:r w:rsidRPr="00DB0762">
        <w:rPr>
          <w:rFonts w:ascii="Arial" w:eastAsia="Times New Roman" w:hAnsi="Arial" w:cs="Arial"/>
          <w:sz w:val="20"/>
          <w:lang w:eastAsia="cs-CZ"/>
        </w:rPr>
        <w:t>a</w:t>
      </w:r>
    </w:p>
    <w:p w:rsidR="00DB0762" w:rsidRDefault="00DB0762" w:rsidP="002921B3">
      <w:pPr>
        <w:tabs>
          <w:tab w:val="left" w:pos="1080"/>
          <w:tab w:val="left" w:pos="7020"/>
        </w:tabs>
        <w:spacing w:after="0" w:line="288" w:lineRule="auto"/>
        <w:jc w:val="both"/>
        <w:rPr>
          <w:rFonts w:ascii="Arial" w:eastAsia="Times New Roman" w:hAnsi="Arial" w:cs="Arial"/>
          <w:lang w:eastAsia="cs-CZ"/>
        </w:rPr>
      </w:pPr>
    </w:p>
    <w:p w:rsidR="00641DD1" w:rsidRDefault="00641DD1" w:rsidP="002921B3">
      <w:pPr>
        <w:tabs>
          <w:tab w:val="left" w:pos="1080"/>
          <w:tab w:val="left" w:pos="7020"/>
        </w:tabs>
        <w:spacing w:after="0" w:line="288" w:lineRule="auto"/>
        <w:jc w:val="both"/>
        <w:rPr>
          <w:rFonts w:ascii="Arial" w:eastAsia="Times New Roman" w:hAnsi="Arial" w:cs="Arial"/>
          <w:lang w:eastAsia="cs-CZ"/>
        </w:rPr>
      </w:pPr>
    </w:p>
    <w:p w:rsidR="00641DD1" w:rsidRDefault="002921B3" w:rsidP="00641DD1">
      <w:pPr>
        <w:tabs>
          <w:tab w:val="left" w:pos="1080"/>
          <w:tab w:val="left" w:pos="7020"/>
        </w:tabs>
        <w:spacing w:after="120" w:line="288" w:lineRule="auto"/>
        <w:jc w:val="both"/>
        <w:rPr>
          <w:rFonts w:ascii="Arial" w:eastAsia="Times New Roman" w:hAnsi="Arial" w:cs="Arial"/>
          <w:lang w:eastAsia="cs-CZ"/>
        </w:rPr>
      </w:pPr>
      <w:r w:rsidRPr="002921B3">
        <w:rPr>
          <w:rFonts w:ascii="Arial" w:eastAsia="Times New Roman" w:hAnsi="Arial" w:cs="Arial"/>
          <w:lang w:eastAsia="cs-CZ"/>
        </w:rPr>
        <w:t>Vyv</w:t>
      </w:r>
      <w:r w:rsidR="00E4499B">
        <w:rPr>
          <w:rFonts w:ascii="Arial" w:eastAsia="Times New Roman" w:hAnsi="Arial" w:cs="Arial"/>
          <w:lang w:eastAsia="cs-CZ"/>
        </w:rPr>
        <w:t>ěšeno na úřední desce dne: 24. 10.</w:t>
      </w:r>
      <w:r w:rsidRPr="002921B3">
        <w:rPr>
          <w:rFonts w:ascii="Arial" w:eastAsia="Times New Roman" w:hAnsi="Arial" w:cs="Arial"/>
          <w:lang w:eastAsia="cs-CZ"/>
        </w:rPr>
        <w:t xml:space="preserve"> 2016</w:t>
      </w:r>
      <w:r w:rsidR="00641DD1">
        <w:rPr>
          <w:rFonts w:ascii="Arial" w:eastAsia="Times New Roman" w:hAnsi="Arial" w:cs="Arial"/>
          <w:lang w:eastAsia="cs-CZ"/>
        </w:rPr>
        <w:t xml:space="preserve"> </w:t>
      </w:r>
    </w:p>
    <w:p w:rsidR="00641DD1" w:rsidRPr="002921B3" w:rsidRDefault="00641DD1" w:rsidP="00641DD1">
      <w:pPr>
        <w:tabs>
          <w:tab w:val="left" w:pos="1080"/>
          <w:tab w:val="left" w:pos="7020"/>
        </w:tabs>
        <w:spacing w:after="120" w:line="288" w:lineRule="auto"/>
        <w:jc w:val="both"/>
        <w:rPr>
          <w:rFonts w:ascii="Times New Roman" w:eastAsia="Times New Roman" w:hAnsi="Times New Roman" w:cs="Times New Roman"/>
          <w:sz w:val="24"/>
          <w:szCs w:val="24"/>
          <w:lang w:eastAsia="cs-CZ"/>
        </w:rPr>
      </w:pPr>
      <w:r w:rsidRPr="002921B3">
        <w:rPr>
          <w:rFonts w:ascii="Arial" w:eastAsia="Times New Roman" w:hAnsi="Arial" w:cs="Arial"/>
          <w:lang w:eastAsia="cs-CZ"/>
        </w:rPr>
        <w:t>Vyv</w:t>
      </w:r>
      <w:r>
        <w:rPr>
          <w:rFonts w:ascii="Arial" w:eastAsia="Times New Roman" w:hAnsi="Arial" w:cs="Arial"/>
          <w:lang w:eastAsia="cs-CZ"/>
        </w:rPr>
        <w:t>ěšeno na elek</w:t>
      </w:r>
      <w:r w:rsidR="00E4499B">
        <w:rPr>
          <w:rFonts w:ascii="Arial" w:eastAsia="Times New Roman" w:hAnsi="Arial" w:cs="Arial"/>
          <w:lang w:eastAsia="cs-CZ"/>
        </w:rPr>
        <w:t>tronické úřední desce dne: 24. 10.</w:t>
      </w:r>
      <w:r w:rsidRPr="002921B3">
        <w:rPr>
          <w:rFonts w:ascii="Arial" w:eastAsia="Times New Roman" w:hAnsi="Arial" w:cs="Arial"/>
          <w:lang w:eastAsia="cs-CZ"/>
        </w:rPr>
        <w:t xml:space="preserve"> 2016</w:t>
      </w:r>
    </w:p>
    <w:p w:rsidR="002921B3" w:rsidRDefault="002921B3" w:rsidP="002921B3">
      <w:pPr>
        <w:tabs>
          <w:tab w:val="left" w:pos="1080"/>
          <w:tab w:val="left" w:pos="7020"/>
        </w:tabs>
        <w:spacing w:after="0" w:line="288" w:lineRule="auto"/>
        <w:jc w:val="both"/>
        <w:rPr>
          <w:rFonts w:ascii="Arial" w:eastAsia="Times New Roman" w:hAnsi="Arial" w:cs="Arial"/>
          <w:lang w:eastAsia="cs-CZ"/>
        </w:rPr>
      </w:pPr>
      <w:r w:rsidRPr="002921B3">
        <w:rPr>
          <w:rFonts w:ascii="Arial" w:eastAsia="Times New Roman" w:hAnsi="Arial" w:cs="Arial"/>
          <w:lang w:eastAsia="cs-CZ"/>
        </w:rPr>
        <w:t>S</w:t>
      </w:r>
      <w:r w:rsidR="00641DD1">
        <w:rPr>
          <w:rFonts w:ascii="Arial" w:eastAsia="Times New Roman" w:hAnsi="Arial" w:cs="Arial"/>
          <w:lang w:eastAsia="cs-CZ"/>
        </w:rPr>
        <w:t>ejmuto z úřední desky dne: ……………</w:t>
      </w:r>
      <w:r w:rsidRPr="002921B3">
        <w:rPr>
          <w:rFonts w:ascii="Arial" w:eastAsia="Times New Roman" w:hAnsi="Arial" w:cs="Arial"/>
          <w:lang w:eastAsia="cs-CZ"/>
        </w:rPr>
        <w:t>. 2016</w:t>
      </w:r>
    </w:p>
    <w:p w:rsidR="00DB0762" w:rsidRDefault="00DB0762" w:rsidP="002921B3">
      <w:pPr>
        <w:tabs>
          <w:tab w:val="left" w:pos="1080"/>
          <w:tab w:val="left" w:pos="7020"/>
        </w:tabs>
        <w:spacing w:after="0" w:line="288" w:lineRule="auto"/>
        <w:jc w:val="both"/>
        <w:rPr>
          <w:rFonts w:ascii="Arial" w:eastAsia="Times New Roman" w:hAnsi="Arial" w:cs="Arial"/>
          <w:lang w:eastAsia="cs-CZ"/>
        </w:rPr>
      </w:pPr>
    </w:p>
    <w:p w:rsidR="002921B3" w:rsidRPr="002921B3" w:rsidRDefault="002921B3" w:rsidP="002921B3">
      <w:pPr>
        <w:spacing w:after="160" w:line="240" w:lineRule="auto"/>
        <w:jc w:val="both"/>
        <w:rPr>
          <w:rFonts w:ascii="Times New Roman" w:eastAsia="Times New Roman" w:hAnsi="Times New Roman" w:cs="Times New Roman"/>
          <w:sz w:val="24"/>
          <w:szCs w:val="24"/>
          <w:lang w:eastAsia="cs-CZ"/>
        </w:rPr>
      </w:pPr>
      <w:r w:rsidRPr="002921B3">
        <w:rPr>
          <w:rFonts w:ascii="Arial" w:eastAsia="Times New Roman" w:hAnsi="Arial" w:cs="Arial"/>
          <w:color w:val="000000"/>
          <w:sz w:val="16"/>
          <w:szCs w:val="16"/>
          <w:lang w:eastAsia="cs-CZ"/>
        </w:rPr>
        <w:t>Zákon č. 183/2006 Sb., o územním plánování a stavebním řádu, ve znění pozdějších předpisů</w:t>
      </w:r>
      <w:r w:rsidR="00684055">
        <w:rPr>
          <w:rFonts w:ascii="Arial" w:eastAsia="Times New Roman" w:hAnsi="Arial" w:cs="Arial"/>
          <w:color w:val="000000"/>
          <w:sz w:val="16"/>
          <w:szCs w:val="16"/>
          <w:lang w:eastAsia="cs-CZ"/>
        </w:rPr>
        <w:t>.</w:t>
      </w:r>
      <w:r w:rsidRPr="002921B3">
        <w:rPr>
          <w:rFonts w:ascii="Arial" w:eastAsia="Times New Roman" w:hAnsi="Arial" w:cs="Arial"/>
          <w:color w:val="000000"/>
          <w:sz w:val="16"/>
          <w:szCs w:val="16"/>
          <w:lang w:eastAsia="cs-CZ"/>
        </w:rPr>
        <w:t xml:space="preserve"> </w:t>
      </w:r>
    </w:p>
    <w:p w:rsidR="006F1426" w:rsidRDefault="002921B3" w:rsidP="00684055">
      <w:pPr>
        <w:spacing w:after="160" w:line="240" w:lineRule="auto"/>
        <w:jc w:val="both"/>
      </w:pPr>
      <w:r w:rsidRPr="002921B3">
        <w:rPr>
          <w:rFonts w:ascii="Arial" w:eastAsia="Times New Roman" w:hAnsi="Arial" w:cs="Arial"/>
          <w:color w:val="000000"/>
          <w:sz w:val="16"/>
          <w:szCs w:val="16"/>
          <w:lang w:eastAsia="cs-CZ"/>
        </w:rPr>
        <w:t>Zákon č. 128/2000 Sb., o obcích, ve znění pozdějších předpisů, zákon č. 200/1990 Sb., o přestupcích, ve znění pozdějších předpisů</w:t>
      </w:r>
      <w:r w:rsidR="00684055">
        <w:rPr>
          <w:rFonts w:ascii="Arial" w:eastAsia="Times New Roman" w:hAnsi="Arial" w:cs="Arial"/>
          <w:color w:val="000000"/>
          <w:sz w:val="16"/>
          <w:szCs w:val="16"/>
          <w:lang w:eastAsia="cs-CZ"/>
        </w:rPr>
        <w:t>.</w:t>
      </w:r>
    </w:p>
    <w:sectPr w:rsidR="006F1426" w:rsidSect="006F14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921B3"/>
    <w:rsid w:val="000905C5"/>
    <w:rsid w:val="002921B3"/>
    <w:rsid w:val="00440FAC"/>
    <w:rsid w:val="005634D9"/>
    <w:rsid w:val="00641DD1"/>
    <w:rsid w:val="00684055"/>
    <w:rsid w:val="006F1426"/>
    <w:rsid w:val="00B93565"/>
    <w:rsid w:val="00CF675D"/>
    <w:rsid w:val="00DB0762"/>
    <w:rsid w:val="00E4499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1426"/>
  </w:style>
  <w:style w:type="paragraph" w:styleId="Nadpis2">
    <w:name w:val="heading 2"/>
    <w:basedOn w:val="Normln"/>
    <w:link w:val="Nadpis2Char"/>
    <w:uiPriority w:val="9"/>
    <w:qFormat/>
    <w:rsid w:val="002921B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921B3"/>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2921B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695692092">
      <w:bodyDiv w:val="1"/>
      <w:marLeft w:val="0"/>
      <w:marRight w:val="0"/>
      <w:marTop w:val="0"/>
      <w:marBottom w:val="0"/>
      <w:divBdr>
        <w:top w:val="none" w:sz="0" w:space="0" w:color="auto"/>
        <w:left w:val="none" w:sz="0" w:space="0" w:color="auto"/>
        <w:bottom w:val="none" w:sz="0" w:space="0" w:color="auto"/>
        <w:right w:val="none" w:sz="0" w:space="0" w:color="auto"/>
      </w:divBdr>
      <w:divsChild>
        <w:div w:id="467746633">
          <w:marLeft w:val="0"/>
          <w:marRight w:val="0"/>
          <w:marTop w:val="0"/>
          <w:marBottom w:val="0"/>
          <w:divBdr>
            <w:top w:val="none" w:sz="0" w:space="0" w:color="auto"/>
            <w:left w:val="none" w:sz="0" w:space="0" w:color="auto"/>
            <w:bottom w:val="none" w:sz="0" w:space="0" w:color="auto"/>
            <w:right w:val="none" w:sz="0" w:space="0" w:color="auto"/>
          </w:divBdr>
          <w:divsChild>
            <w:div w:id="1147355658">
              <w:marLeft w:val="0"/>
              <w:marRight w:val="0"/>
              <w:marTop w:val="0"/>
              <w:marBottom w:val="0"/>
              <w:divBdr>
                <w:top w:val="none" w:sz="0" w:space="0" w:color="auto"/>
                <w:left w:val="none" w:sz="0" w:space="0" w:color="auto"/>
                <w:bottom w:val="none" w:sz="0" w:space="0" w:color="auto"/>
                <w:right w:val="none" w:sz="0" w:space="0" w:color="auto"/>
              </w:divBdr>
              <w:divsChild>
                <w:div w:id="1454910515">
                  <w:marLeft w:val="0"/>
                  <w:marRight w:val="0"/>
                  <w:marTop w:val="0"/>
                  <w:marBottom w:val="0"/>
                  <w:divBdr>
                    <w:top w:val="none" w:sz="0" w:space="0" w:color="auto"/>
                    <w:left w:val="none" w:sz="0" w:space="0" w:color="auto"/>
                    <w:bottom w:val="none" w:sz="0" w:space="0" w:color="auto"/>
                    <w:right w:val="none" w:sz="0" w:space="0" w:color="auto"/>
                  </w:divBdr>
                  <w:divsChild>
                    <w:div w:id="1772428512">
                      <w:marLeft w:val="0"/>
                      <w:marRight w:val="0"/>
                      <w:marTop w:val="0"/>
                      <w:marBottom w:val="0"/>
                      <w:divBdr>
                        <w:top w:val="none" w:sz="0" w:space="0" w:color="auto"/>
                        <w:left w:val="none" w:sz="0" w:space="0" w:color="auto"/>
                        <w:bottom w:val="none" w:sz="0" w:space="0" w:color="auto"/>
                        <w:right w:val="none" w:sz="0" w:space="0" w:color="auto"/>
                      </w:divBdr>
                      <w:divsChild>
                        <w:div w:id="146483794">
                          <w:marLeft w:val="0"/>
                          <w:marRight w:val="0"/>
                          <w:marTop w:val="0"/>
                          <w:marBottom w:val="0"/>
                          <w:divBdr>
                            <w:top w:val="none" w:sz="0" w:space="0" w:color="auto"/>
                            <w:left w:val="none" w:sz="0" w:space="0" w:color="auto"/>
                            <w:bottom w:val="none" w:sz="0" w:space="0" w:color="auto"/>
                            <w:right w:val="none" w:sz="0" w:space="0" w:color="auto"/>
                          </w:divBdr>
                        </w:div>
                        <w:div w:id="874658386">
                          <w:marLeft w:val="0"/>
                          <w:marRight w:val="0"/>
                          <w:marTop w:val="0"/>
                          <w:marBottom w:val="0"/>
                          <w:divBdr>
                            <w:top w:val="none" w:sz="0" w:space="0" w:color="auto"/>
                            <w:left w:val="none" w:sz="0" w:space="0" w:color="auto"/>
                            <w:bottom w:val="none" w:sz="0" w:space="0" w:color="auto"/>
                            <w:right w:val="none" w:sz="0" w:space="0" w:color="auto"/>
                          </w:divBdr>
                          <w:divsChild>
                            <w:div w:id="1572278257">
                              <w:marLeft w:val="0"/>
                              <w:marRight w:val="0"/>
                              <w:marTop w:val="0"/>
                              <w:marBottom w:val="0"/>
                              <w:divBdr>
                                <w:top w:val="none" w:sz="0" w:space="0" w:color="auto"/>
                                <w:left w:val="none" w:sz="0" w:space="0" w:color="auto"/>
                                <w:bottom w:val="none" w:sz="0" w:space="0" w:color="auto"/>
                                <w:right w:val="none" w:sz="0" w:space="0" w:color="auto"/>
                              </w:divBdr>
                              <w:divsChild>
                                <w:div w:id="1587227957">
                                  <w:marLeft w:val="0"/>
                                  <w:marRight w:val="0"/>
                                  <w:marTop w:val="0"/>
                                  <w:marBottom w:val="0"/>
                                  <w:divBdr>
                                    <w:top w:val="none" w:sz="0" w:space="0" w:color="auto"/>
                                    <w:left w:val="none" w:sz="0" w:space="0" w:color="auto"/>
                                    <w:bottom w:val="none" w:sz="0" w:space="0" w:color="auto"/>
                                    <w:right w:val="none" w:sz="0" w:space="0" w:color="auto"/>
                                  </w:divBdr>
                                  <w:divsChild>
                                    <w:div w:id="3672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1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501</Words>
  <Characters>2959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dc:creator>
  <cp:keywords/>
  <dc:description/>
  <cp:lastModifiedBy>obec</cp:lastModifiedBy>
  <cp:revision>5</cp:revision>
  <cp:lastPrinted>2016-11-28T16:21:00Z</cp:lastPrinted>
  <dcterms:created xsi:type="dcterms:W3CDTF">2016-09-21T14:06:00Z</dcterms:created>
  <dcterms:modified xsi:type="dcterms:W3CDTF">2016-11-28T16:23:00Z</dcterms:modified>
</cp:coreProperties>
</file>