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EE7240" w:rsidRDefault="00EE7240">
      <w:pPr>
        <w:jc w:val="both"/>
        <w:rPr>
          <w:b/>
          <w:bCs/>
          <w:sz w:val="28"/>
          <w:szCs w:val="28"/>
        </w:rPr>
      </w:pPr>
    </w:p>
    <w:p w:rsidR="00EE7240" w:rsidRDefault="00EE7240">
      <w:pPr>
        <w:jc w:val="both"/>
      </w:pPr>
    </w:p>
    <w:p w:rsidR="00EE7240" w:rsidRDefault="00EE7240">
      <w:pPr>
        <w:jc w:val="both"/>
      </w:pPr>
      <w:r>
        <w:t>Obec Bukovany</w:t>
      </w:r>
    </w:p>
    <w:p w:rsidR="00EE7240" w:rsidRDefault="00EE7240">
      <w:pPr>
        <w:jc w:val="both"/>
      </w:pPr>
    </w:p>
    <w:p w:rsidR="00EE7240" w:rsidRDefault="00EE7240">
      <w:pPr>
        <w:jc w:val="center"/>
      </w:pPr>
    </w:p>
    <w:p w:rsidR="00EE7240" w:rsidRDefault="00EE7240">
      <w:pPr>
        <w:jc w:val="center"/>
        <w:rPr>
          <w:b/>
          <w:bCs/>
        </w:rPr>
      </w:pPr>
    </w:p>
    <w:p w:rsidR="00EE7240" w:rsidRDefault="00EE7240">
      <w:pPr>
        <w:jc w:val="center"/>
        <w:rPr>
          <w:b/>
          <w:bCs/>
        </w:rPr>
      </w:pPr>
      <w:r>
        <w:rPr>
          <w:b/>
          <w:bCs/>
        </w:rPr>
        <w:t>Obecně závazná vyhláška č. 3/2009</w:t>
      </w:r>
    </w:p>
    <w:p w:rsidR="00EE7240" w:rsidRDefault="00EE7240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 1/2008,    </w:t>
      </w:r>
    </w:p>
    <w:p w:rsidR="00EE7240" w:rsidRDefault="00EE7240">
      <w:pPr>
        <w:pStyle w:val="nzevzkona"/>
        <w:spacing w:before="0pt"/>
        <w:jc w:val="start"/>
      </w:pPr>
      <w:r>
        <w:t xml:space="preserve">                        kterou se stanoví koeficient pro výpočet daně z nemovitostí</w:t>
      </w:r>
    </w:p>
    <w:p w:rsidR="00EE7240" w:rsidRDefault="00EE7240">
      <w:pPr>
        <w:pStyle w:val="nzevzkona"/>
        <w:spacing w:before="0pt"/>
        <w:jc w:val="start"/>
      </w:pPr>
    </w:p>
    <w:p w:rsidR="00EE7240" w:rsidRDefault="00EE7240">
      <w:pPr>
        <w:ind w:firstLine="35.40pt"/>
        <w:jc w:val="both"/>
      </w:pPr>
      <w:r>
        <w:t xml:space="preserve">Zastupitelstvo obce Bukovany se na svém zasedání dne 3.listopadu 2009, usneslo vydat na základě § 84 odst. 2 písm. h) zákona č. 128/2000 Sb.,  o obcích (obecní zřízení), tuto obecně závaznou vyhlášku: </w:t>
      </w:r>
    </w:p>
    <w:p w:rsidR="00EE7240" w:rsidRDefault="00EE7240">
      <w:pPr>
        <w:pStyle w:val="Nadpis2"/>
        <w:jc w:val="center"/>
      </w:pPr>
    </w:p>
    <w:p w:rsidR="00EE7240" w:rsidRDefault="00EE7240"/>
    <w:p w:rsidR="00EE7240" w:rsidRDefault="00EE7240">
      <w:pPr>
        <w:pStyle w:val="Nadpis2"/>
        <w:jc w:val="center"/>
      </w:pPr>
    </w:p>
    <w:p w:rsidR="00EE7240" w:rsidRDefault="00EE7240">
      <w:pPr>
        <w:pStyle w:val="Nadpis2"/>
        <w:jc w:val="center"/>
      </w:pPr>
      <w:r>
        <w:t>Čl. 1</w:t>
      </w:r>
    </w:p>
    <w:p w:rsidR="00EE7240" w:rsidRDefault="00EE7240">
      <w:pPr>
        <w:jc w:val="center"/>
        <w:rPr>
          <w:b/>
          <w:bCs/>
        </w:rPr>
      </w:pPr>
    </w:p>
    <w:p w:rsidR="00EE7240" w:rsidRDefault="00EE7240">
      <w:pPr>
        <w:jc w:val="center"/>
        <w:rPr>
          <w:b/>
          <w:bCs/>
        </w:rPr>
      </w:pPr>
      <w:r>
        <w:rPr>
          <w:b/>
          <w:bCs/>
        </w:rPr>
        <w:t xml:space="preserve">Zrušuje se obecně závazná vyhláška č.  1/2008,    </w:t>
      </w:r>
    </w:p>
    <w:p w:rsidR="00EE7240" w:rsidRDefault="00EE7240">
      <w:pPr>
        <w:pStyle w:val="nzevzkona"/>
        <w:spacing w:before="0pt"/>
        <w:jc w:val="start"/>
      </w:pPr>
      <w:r>
        <w:t xml:space="preserve">                        kterou se stanoví koeficient pro výpočet daně z nemovitostí</w:t>
      </w:r>
    </w:p>
    <w:p w:rsidR="00EE7240" w:rsidRDefault="00EE7240">
      <w:pPr>
        <w:pStyle w:val="nzevzkona"/>
        <w:spacing w:before="0pt"/>
        <w:ind w:start="27pt" w:hanging="27pt"/>
        <w:jc w:val="start"/>
        <w:rPr>
          <w:b w:val="0"/>
          <w:bCs w:val="0"/>
        </w:rPr>
      </w:pPr>
    </w:p>
    <w:p w:rsidR="00EE7240" w:rsidRDefault="00EE7240">
      <w:pPr>
        <w:pStyle w:val="nzevzkona"/>
        <w:spacing w:before="0pt"/>
        <w:ind w:start="27pt" w:hanging="27pt"/>
        <w:jc w:val="start"/>
      </w:pPr>
    </w:p>
    <w:p w:rsidR="00EE7240" w:rsidRDefault="00EE7240">
      <w:pPr>
        <w:pStyle w:val="nzevzkona"/>
        <w:spacing w:before="0pt"/>
        <w:jc w:val="both"/>
        <w:rPr>
          <w:b w:val="0"/>
          <w:bCs w:val="0"/>
        </w:rPr>
      </w:pPr>
    </w:p>
    <w:p w:rsidR="00EE7240" w:rsidRDefault="00EE7240">
      <w:pPr>
        <w:pStyle w:val="nzevzkona"/>
        <w:spacing w:before="0pt"/>
        <w:jc w:val="both"/>
      </w:pPr>
      <w:r>
        <w:t xml:space="preserve">       </w:t>
      </w:r>
    </w:p>
    <w:p w:rsidR="00EE7240" w:rsidRDefault="00EE7240">
      <w:pPr>
        <w:pStyle w:val="nzevzkona"/>
        <w:spacing w:before="0pt"/>
        <w:jc w:val="both"/>
      </w:pPr>
    </w:p>
    <w:p w:rsidR="00EE7240" w:rsidRDefault="00EE7240">
      <w:pPr>
        <w:pStyle w:val="Zkladntext"/>
        <w:tabs>
          <w:tab w:val="start" w:pos="27pt"/>
        </w:tabs>
        <w:spacing w:before="6pt"/>
        <w:jc w:val="center"/>
      </w:pPr>
      <w:r>
        <w:t>Čl. 2</w:t>
      </w:r>
    </w:p>
    <w:p w:rsidR="00EE7240" w:rsidRDefault="00EE7240">
      <w:pPr>
        <w:pStyle w:val="Zkladntext"/>
        <w:tabs>
          <w:tab w:val="start" w:pos="27pt"/>
        </w:tabs>
        <w:jc w:val="center"/>
      </w:pPr>
      <w:r>
        <w:t>Účinnost</w:t>
      </w:r>
    </w:p>
    <w:p w:rsidR="00EE7240" w:rsidRDefault="00EE7240">
      <w:pPr>
        <w:pStyle w:val="Zkladntext"/>
        <w:spacing w:before="6pt"/>
      </w:pPr>
      <w:r>
        <w:tab/>
        <w:t xml:space="preserve">          Tato obecně závazná vyhláška nabývá účinnosti dnem 4.11.2009</w:t>
      </w:r>
    </w:p>
    <w:p w:rsidR="00EE7240" w:rsidRDefault="00EE7240">
      <w:pPr>
        <w:pStyle w:val="Zkladntext"/>
        <w:tabs>
          <w:tab w:val="start" w:pos="27pt"/>
        </w:tabs>
        <w:jc w:val="center"/>
      </w:pPr>
    </w:p>
    <w:p w:rsidR="00EE7240" w:rsidRDefault="00EE7240">
      <w:pPr>
        <w:pStyle w:val="Zkladntext"/>
        <w:tabs>
          <w:tab w:val="start" w:pos="27pt"/>
        </w:tabs>
        <w:jc w:val="center"/>
      </w:pPr>
    </w:p>
    <w:p w:rsidR="00EE7240" w:rsidRDefault="00EE7240">
      <w:pPr>
        <w:pStyle w:val="Zkladntext"/>
        <w:tabs>
          <w:tab w:val="start" w:pos="27pt"/>
        </w:tabs>
        <w:jc w:val="center"/>
      </w:pPr>
    </w:p>
    <w:p w:rsidR="00EE7240" w:rsidRDefault="00EE7240">
      <w:pPr>
        <w:pStyle w:val="Zkladntext"/>
        <w:tabs>
          <w:tab w:val="start" w:pos="27pt"/>
        </w:tabs>
        <w:jc w:val="center"/>
      </w:pPr>
    </w:p>
    <w:p w:rsidR="00EE7240" w:rsidRDefault="00EE7240">
      <w:pPr>
        <w:pStyle w:val="Zkladntext"/>
        <w:tabs>
          <w:tab w:val="start" w:pos="27pt"/>
        </w:tabs>
        <w:jc w:val="center"/>
      </w:pPr>
    </w:p>
    <w:p w:rsidR="00EE7240" w:rsidRDefault="00EE7240">
      <w:pPr>
        <w:pStyle w:val="Zkladntext"/>
        <w:tabs>
          <w:tab w:val="start" w:pos="27pt"/>
        </w:tabs>
        <w:jc w:val="center"/>
      </w:pPr>
    </w:p>
    <w:p w:rsidR="00EE7240" w:rsidRDefault="00EE7240">
      <w:pPr>
        <w:tabs>
          <w:tab w:val="start" w:pos="81pt"/>
          <w:tab w:val="start" w:pos="387pt"/>
        </w:tabs>
        <w:autoSpaceDE w:val="0"/>
        <w:autoSpaceDN w:val="0"/>
        <w:adjustRightInd w:val="0"/>
        <w:spacing w:line="12pt" w:lineRule="atLeast"/>
        <w:rPr>
          <w:i/>
          <w:iCs/>
          <w:color w:val="000000"/>
        </w:rPr>
      </w:pPr>
      <w:r>
        <w:rPr>
          <w:color w:val="000000"/>
        </w:rPr>
        <w:t xml:space="preserve">                 </w:t>
      </w:r>
    </w:p>
    <w:p w:rsidR="00EE7240" w:rsidRDefault="00EE7240">
      <w:pPr>
        <w:tabs>
          <w:tab w:val="start" w:pos="81pt"/>
          <w:tab w:val="start" w:pos="387pt"/>
        </w:tabs>
        <w:autoSpaceDE w:val="0"/>
        <w:autoSpaceDN w:val="0"/>
        <w:adjustRightInd w:val="0"/>
        <w:spacing w:line="12pt" w:lineRule="atLeast"/>
        <w:rPr>
          <w:i/>
          <w:iCs/>
          <w:color w:val="000000"/>
        </w:rPr>
      </w:pPr>
    </w:p>
    <w:p w:rsidR="00EE7240" w:rsidRDefault="00EE7240">
      <w:pPr>
        <w:tabs>
          <w:tab w:val="start" w:pos="81pt"/>
          <w:tab w:val="start" w:pos="387pt"/>
        </w:tabs>
        <w:autoSpaceDE w:val="0"/>
        <w:autoSpaceDN w:val="0"/>
        <w:adjustRightInd w:val="0"/>
        <w:spacing w:line="12pt" w:lineRule="atLeast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                       </w:t>
      </w:r>
      <w:r>
        <w:rPr>
          <w:i/>
          <w:iCs/>
          <w:color w:val="000000"/>
        </w:rPr>
        <w:tab/>
      </w:r>
    </w:p>
    <w:p w:rsidR="00EE7240" w:rsidRDefault="00EE7240">
      <w:pPr>
        <w:tabs>
          <w:tab w:val="start" w:pos="59.80pt"/>
          <w:tab w:val="start" w:pos="367.40pt"/>
        </w:tabs>
        <w:autoSpaceDE w:val="0"/>
        <w:autoSpaceDN w:val="0"/>
        <w:adjustRightInd w:val="0"/>
        <w:spacing w:line="12pt" w:lineRule="atLeast"/>
        <w:ind w:start="35.40pt"/>
        <w:jc w:val="both"/>
        <w:rPr>
          <w:color w:val="000000"/>
        </w:rPr>
      </w:pPr>
      <w:r>
        <w:rPr>
          <w:color w:val="000000"/>
        </w:rPr>
        <w:t xml:space="preserve">   ------------------                                                        ------------------                                                                                                         </w:t>
      </w:r>
    </w:p>
    <w:p w:rsidR="00EE7240" w:rsidRDefault="00EE7240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  <w:r>
        <w:rPr>
          <w:color w:val="000000"/>
        </w:rPr>
        <w:t xml:space="preserve">                 místostarosta                                                          starostka obce</w:t>
      </w:r>
    </w:p>
    <w:p w:rsidR="00EE7240" w:rsidRDefault="00EE7240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  <w:r>
        <w:rPr>
          <w:color w:val="000000"/>
        </w:rPr>
        <w:t xml:space="preserve">               Vojtěch Hanzlík                                                    Miroslav Stropek</w:t>
      </w:r>
    </w:p>
    <w:p w:rsidR="00EE7240" w:rsidRDefault="00EE7240">
      <w:pPr>
        <w:pStyle w:val="Zkladntext"/>
        <w:tabs>
          <w:tab w:val="start" w:pos="27pt"/>
        </w:tabs>
        <w:spacing w:before="6pt"/>
      </w:pPr>
    </w:p>
    <w:p w:rsidR="00EE7240" w:rsidRDefault="00EE7240"/>
    <w:p w:rsidR="00EE7240" w:rsidRDefault="00EE7240"/>
    <w:p w:rsidR="00EE7240" w:rsidRDefault="00EE7240"/>
    <w:p w:rsidR="00EE7240" w:rsidRDefault="00EE7240">
      <w:r>
        <w:t>Vyvěšeno na úřední desce dne: 4.11.2009</w:t>
      </w:r>
    </w:p>
    <w:p w:rsidR="00EE7240" w:rsidRDefault="00EE7240"/>
    <w:p w:rsidR="00EE7240" w:rsidRDefault="00EE7240">
      <w:r>
        <w:t>Sejmuto z úřední desky dne: 20.11.2009</w:t>
      </w:r>
    </w:p>
    <w:p w:rsidR="00EE7240" w:rsidRDefault="00EE7240">
      <w:pPr>
        <w:jc w:val="center"/>
        <w:rPr>
          <w:b/>
          <w:bCs/>
        </w:rPr>
      </w:pPr>
    </w:p>
    <w:sectPr w:rsidR="00EE7240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start"/>
      <w:pPr>
        <w:tabs>
          <w:tab w:val="num" w:pos="72pt"/>
        </w:tabs>
        <w:ind w:start="72pt" w:hanging="54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start"/>
      <w:pPr>
        <w:tabs>
          <w:tab w:val="num" w:pos="45.35pt"/>
        </w:tabs>
        <w:ind w:firstLine="29.25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cs="Wingdings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start"/>
      <w:pPr>
        <w:tabs>
          <w:tab w:val="num" w:pos="30pt"/>
        </w:tabs>
        <w:ind w:start="30pt" w:hanging="18pt"/>
      </w:pPr>
      <w:rPr>
        <w:rFonts w:hint="default"/>
      </w:rPr>
    </w:lvl>
  </w:abstractNum>
  <w:abstractNum w:abstractNumId="11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start"/>
      <w:pPr>
        <w:tabs>
          <w:tab w:val="num" w:pos="90pt"/>
        </w:tabs>
        <w:ind w:start="90pt" w:hanging="18pt"/>
      </w:pPr>
    </w:lvl>
    <w:lvl w:ilvl="1" w:tplc="FFFFFFFF">
      <w:start w:val="1"/>
      <w:numFmt w:val="bullet"/>
      <w:lvlText w:val="-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3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4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126pt"/>
        </w:tabs>
        <w:ind w:start="126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62pt"/>
        </w:tabs>
        <w:ind w:start="162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98pt"/>
        </w:tabs>
        <w:ind w:start="198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234pt"/>
        </w:tabs>
        <w:ind w:start="234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70pt"/>
        </w:tabs>
        <w:ind w:start="270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306pt"/>
        </w:tabs>
        <w:ind w:start="306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342pt"/>
        </w:tabs>
        <w:ind w:start="342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78pt"/>
        </w:tabs>
        <w:ind w:start="378pt" w:hanging="9pt"/>
      </w:pPr>
    </w:lvl>
  </w:abstractNum>
  <w:abstractNum w:abstractNumId="15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start"/>
      <w:pPr>
        <w:tabs>
          <w:tab w:val="num" w:pos="18.75pt"/>
        </w:tabs>
        <w:ind w:start="18.75pt" w:hanging="18.75pt"/>
      </w:pPr>
      <w:rPr>
        <w:rFonts w:hint="default"/>
      </w:rPr>
    </w:lvl>
    <w:lvl w:ilvl="1" w:tplc="FFFFFFFF">
      <w:start w:val="2"/>
      <w:numFmt w:val="decimal"/>
      <w:lvlText w:val="(%2)"/>
      <w:lvlJc w:val="start"/>
      <w:pPr>
        <w:tabs>
          <w:tab w:val="num" w:pos="54pt"/>
        </w:tabs>
        <w:ind w:start="54pt" w:hanging="18pt"/>
      </w:pPr>
      <w:rPr>
        <w:rFonts w:hint="default"/>
      </w:r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6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start"/>
      <w:pPr>
        <w:tabs>
          <w:tab w:val="num" w:pos="53.40pt"/>
        </w:tabs>
        <w:ind w:start="53.40pt" w:hanging="18pt"/>
      </w:pPr>
      <w:rPr>
        <w:rFonts w:hint="default"/>
      </w:rPr>
    </w:lvl>
  </w:abstractNum>
  <w:abstractNum w:abstractNumId="17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start"/>
      <w:pPr>
        <w:tabs>
          <w:tab w:val="num" w:pos="47.25pt"/>
        </w:tabs>
        <w:ind w:start="47.25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83.25pt"/>
        </w:tabs>
        <w:ind w:start="83.25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19.25pt"/>
        </w:tabs>
        <w:ind w:start="119.25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55.25pt"/>
        </w:tabs>
        <w:ind w:start="155.25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91.25pt"/>
        </w:tabs>
        <w:ind w:start="191.25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27.25pt"/>
        </w:tabs>
        <w:ind w:start="227.25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63.25pt"/>
        </w:tabs>
        <w:ind w:start="263.25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99.25pt"/>
        </w:tabs>
        <w:ind w:start="299.25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35.25pt"/>
        </w:tabs>
        <w:ind w:start="335.25pt" w:hanging="9pt"/>
      </w:pPr>
    </w:lvl>
  </w:abstractNum>
  <w:abstractNum w:abstractNumId="18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</w:abstractNum>
  <w:abstractNum w:abstractNumId="19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start"/>
      <w:pPr>
        <w:tabs>
          <w:tab w:val="num" w:pos="19.50pt"/>
        </w:tabs>
        <w:ind w:start="19.50pt" w:hanging="19.50pt"/>
      </w:pPr>
      <w:rPr>
        <w:rFonts w:hint="default"/>
      </w:rPr>
    </w:lvl>
    <w:lvl w:ilvl="1" w:tplc="FFFFFFFF">
      <w:start w:val="1"/>
      <w:numFmt w:val="lowerLetter"/>
      <w:lvlText w:val="%2)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2"/>
  </w:num>
  <w:num w:numId="5">
    <w:abstractNumId w:val="0"/>
  </w:num>
  <w:num w:numId="6">
    <w:abstractNumId w:val="13"/>
  </w:num>
  <w:num w:numId="7">
    <w:abstractNumId w:val="7"/>
  </w:num>
  <w:num w:numId="8">
    <w:abstractNumId w:val="18"/>
  </w:num>
  <w:num w:numId="9">
    <w:abstractNumId w:val="10"/>
  </w:num>
  <w:num w:numId="10">
    <w:abstractNumId w:val="17"/>
  </w:num>
  <w:num w:numId="11">
    <w:abstractNumId w:val="5"/>
  </w:num>
  <w:num w:numId="12">
    <w:abstractNumId w:val="19"/>
  </w:num>
  <w:num w:numId="13">
    <w:abstractNumId w:val="12"/>
  </w:num>
  <w:num w:numId="14">
    <w:abstractNumId w:val="9"/>
  </w:num>
  <w:num w:numId="15">
    <w:abstractNumId w:val="8"/>
  </w:num>
  <w:num w:numId="16">
    <w:abstractNumId w:val="15"/>
  </w:num>
  <w:num w:numId="17">
    <w:abstractNumId w:val="1"/>
  </w:num>
  <w:num w:numId="18">
    <w:abstractNumId w:val="6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embedSystemFonts/>
  <w:defaultTabStop w:val="35.40pt"/>
  <w:hyphenationZone w:val="21.25pt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C18"/>
    <w:rsid w:val="00356C18"/>
    <w:rsid w:val="00EE7240"/>
    <w:rsid w:val="00F3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8F57A14C-3111-4275-9B4D-11D972EA346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spacing w:line="18pt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link w:val="Zkladntex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Hlava">
    <w:name w:val="Hlava"/>
    <w:basedOn w:val="Normln"/>
    <w:uiPriority w:val="99"/>
    <w:pPr>
      <w:spacing w:before="12pt"/>
      <w:jc w:val="center"/>
    </w:pPr>
  </w:style>
  <w:style w:type="paragraph" w:customStyle="1" w:styleId="Paragraf">
    <w:name w:val="Paragraf"/>
    <w:basedOn w:val="Normln"/>
    <w:uiPriority w:val="99"/>
    <w:pPr>
      <w:spacing w:before="12pt"/>
      <w:jc w:val="center"/>
    </w:pPr>
  </w:style>
  <w:style w:type="paragraph" w:customStyle="1" w:styleId="Textparagrafu">
    <w:name w:val="Text paragrafu"/>
    <w:basedOn w:val="Normln"/>
    <w:uiPriority w:val="99"/>
    <w:pPr>
      <w:spacing w:before="12pt"/>
      <w:ind w:firstLine="21.25pt"/>
      <w:jc w:val="both"/>
    </w:pPr>
  </w:style>
  <w:style w:type="paragraph" w:customStyle="1" w:styleId="nzevzkona">
    <w:name w:val="název zákona"/>
    <w:basedOn w:val="Nzev"/>
    <w:uiPriority w:val="99"/>
    <w:pPr>
      <w:spacing w:before="6pt" w:line="12pt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pPr>
      <w:widowControl w:val="0"/>
      <w:ind w:firstLine="35.45pt"/>
      <w:jc w:val="both"/>
    </w:pPr>
    <w:rPr>
      <w:rFonts w:ascii="Courier New" w:hAnsi="Courier New" w:cs="Courier New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Gabriela - Bartošová</cp:lastModifiedBy>
  <cp:revision>2</cp:revision>
  <cp:lastPrinted>2009-11-04T13:33:00Z</cp:lastPrinted>
  <dcterms:created xsi:type="dcterms:W3CDTF">2023-06-08T10:15:00Z</dcterms:created>
  <dcterms:modified xsi:type="dcterms:W3CDTF">2023-06-08T10:15:00Z</dcterms:modified>
</cp:coreProperties>
</file>