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png" ContentType="image/png"/>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rPr>
          <w:rFonts w:ascii="Arial" w:hAnsi="Arial" w:cs="Arial"/>
          <w:bCs/>
          <w:sz w:val="16"/>
          <w:szCs w:val="16"/>
        </w:rPr>
      </w:pPr>
      <w:r>
        <w:drawing>
          <wp:anchor behindDoc="0" distT="0" distB="0" distL="0" distR="114935" simplePos="0" locked="0" layoutInCell="0" allowOverlap="1" relativeHeight="2">
            <wp:simplePos x="0" y="0"/>
            <wp:positionH relativeFrom="column">
              <wp:align>left</wp:align>
            </wp:positionH>
            <wp:positionV relativeFrom="paragraph">
              <wp:posOffset>635</wp:posOffset>
            </wp:positionV>
            <wp:extent cx="781050" cy="883920"/>
            <wp:effectExtent l="0" t="0" r="0" b="0"/>
            <wp:wrapSquare wrapText="bothSides"/>
            <wp:docPr id="1" name="Obráze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
                    <pic:cNvPicPr>
                      <a:picLocks noChangeAspect="1" noChangeArrowheads="1"/>
                    </pic:cNvPicPr>
                  </pic:nvPicPr>
                  <pic:blipFill>
                    <a:blip r:embed="rId2"/>
                    <a:srcRect l="-98" t="-87" r="-98" b="-87"/>
                    <a:stretch>
                      <a:fillRect/>
                    </a:stretch>
                  </pic:blipFill>
                  <pic:spPr bwMode="auto">
                    <a:xfrm>
                      <a:off x="0" y="0"/>
                      <a:ext cx="781050" cy="883920"/>
                    </a:xfrm>
                    <a:prstGeom prst="rect">
                      <a:avLst/>
                    </a:prstGeom>
                  </pic:spPr>
                </pic:pic>
              </a:graphicData>
            </a:graphic>
          </wp:anchor>
        </w:drawing>
      </w:r>
      <w:r>
        <w:rPr>
          <w:rFonts w:cs="Arial" w:ascii="Arial" w:hAnsi="Arial"/>
          <w:bCs/>
          <w:sz w:val="18"/>
          <w:szCs w:val="18"/>
        </w:rPr>
        <w:t>Obec Hněvotín</w:t>
        <w:br/>
        <w:t>783 47 Hněvotín 47</w:t>
        <w:br/>
        <w:t>Tel. +420 585 944 808</w:t>
        <w:br/>
        <w:t xml:space="preserve">e-mail: </w:t>
      </w:r>
      <w:hyperlink r:id="rId3">
        <w:r>
          <w:rPr>
            <w:rStyle w:val="Internetovodkaz"/>
            <w:rFonts w:cs="Arial" w:ascii="Arial" w:hAnsi="Arial"/>
            <w:bCs/>
            <w:sz w:val="18"/>
            <w:szCs w:val="18"/>
          </w:rPr>
          <w:t>ou.hnevotin@volny.cz</w:t>
        </w:r>
      </w:hyperlink>
      <w:r>
        <w:rPr>
          <w:rFonts w:cs="Arial" w:ascii="Arial" w:hAnsi="Arial"/>
          <w:bCs/>
          <w:sz w:val="18"/>
          <w:szCs w:val="18"/>
        </w:rPr>
        <w:br/>
        <w:t>www.hnevotin.cz</w:t>
      </w:r>
      <w:r>
        <w:rPr>
          <w:rFonts w:cs="Arial" w:ascii="Arial" w:hAnsi="Arial"/>
          <w:bCs/>
          <w:sz w:val="16"/>
          <w:szCs w:val="16"/>
        </w:rPr>
        <w:br w:type="textWrapping" w:clear="all"/>
      </w:r>
    </w:p>
    <w:p>
      <w:pPr>
        <w:pStyle w:val="Zhlav"/>
        <w:tabs>
          <w:tab w:val="clear" w:pos="708"/>
        </w:tabs>
        <w:rPr>
          <w:rFonts w:ascii="Arial" w:hAnsi="Arial" w:cs="Arial"/>
          <w:bCs/>
          <w:sz w:val="16"/>
          <w:szCs w:val="16"/>
        </w:rPr>
      </w:pPr>
      <w:r>
        <w:rPr>
          <w:rFonts w:cs="Arial" w:ascii="Arial" w:hAnsi="Arial"/>
          <w:bCs/>
          <w:sz w:val="16"/>
          <w:szCs w:val="16"/>
        </w:rPr>
      </w:r>
    </w:p>
    <w:p>
      <w:pPr>
        <w:pStyle w:val="Normal"/>
        <w:tabs>
          <w:tab w:val="clear" w:pos="708"/>
          <w:tab w:val="left" w:pos="3544" w:leader="none"/>
        </w:tabs>
        <w:jc w:val="center"/>
        <w:rPr>
          <w:rFonts w:ascii="Arial" w:hAnsi="Arial" w:cs="Arial"/>
          <w:b/>
          <w:bCs/>
        </w:rPr>
      </w:pPr>
      <w:r>
        <w:rPr>
          <w:rFonts w:cs="Arial" w:ascii="Arial" w:hAnsi="Arial"/>
          <w:b/>
          <w:bCs/>
        </w:rPr>
        <w:t>OBEC HNĚVOTÍN</w:t>
      </w:r>
    </w:p>
    <w:p>
      <w:pPr>
        <w:pStyle w:val="Normal"/>
        <w:spacing w:lineRule="auto" w:line="276"/>
        <w:jc w:val="center"/>
        <w:rPr>
          <w:rFonts w:ascii="Arial" w:hAnsi="Arial" w:cs="Arial"/>
          <w:b/>
        </w:rPr>
      </w:pPr>
      <w:r>
        <w:rPr>
          <w:rFonts w:cs="Arial" w:ascii="Arial" w:hAnsi="Arial"/>
          <w:b/>
          <w:bCs/>
        </w:rPr>
        <w:t>Zastupitelstvo obce Hněvotín</w:t>
      </w:r>
    </w:p>
    <w:p>
      <w:pPr>
        <w:pStyle w:val="Normal"/>
        <w:spacing w:lineRule="auto" w:line="276"/>
        <w:jc w:val="center"/>
        <w:rPr>
          <w:rFonts w:ascii="Arial" w:hAnsi="Arial" w:cs="Arial"/>
          <w:b/>
        </w:rPr>
      </w:pPr>
      <w:r>
        <w:rPr>
          <w:rFonts w:cs="Arial" w:ascii="Arial" w:hAnsi="Arial"/>
          <w:b/>
        </w:rPr>
        <w:t>Obecně závazná vyhláška obce Hněvotín,</w:t>
      </w:r>
    </w:p>
    <w:p>
      <w:pPr>
        <w:pStyle w:val="NormlnIMP"/>
        <w:spacing w:lineRule="auto" w:line="240"/>
        <w:jc w:val="center"/>
        <w:rPr>
          <w:rFonts w:ascii="Arial" w:hAnsi="Arial" w:cs="Arial"/>
          <w:b/>
          <w:color w:val="000000"/>
          <w:sz w:val="22"/>
          <w:szCs w:val="22"/>
        </w:rPr>
      </w:pPr>
      <w:r>
        <w:rPr>
          <w:rFonts w:cs="Arial" w:ascii="Arial" w:hAnsi="Arial"/>
          <w:b/>
          <w:color w:val="000000"/>
          <w:sz w:val="22"/>
          <w:szCs w:val="22"/>
        </w:rPr>
      </w:r>
    </w:p>
    <w:p>
      <w:pPr>
        <w:pStyle w:val="Normal"/>
        <w:spacing w:before="0" w:after="120"/>
        <w:jc w:val="center"/>
        <w:rPr>
          <w:rFonts w:ascii="Arial" w:hAnsi="Arial" w:cs="Arial"/>
          <w:b/>
        </w:rPr>
      </w:pPr>
      <w:r>
        <w:rPr>
          <w:rFonts w:cs="Arial" w:ascii="Arial" w:hAnsi="Arial"/>
          <w:b/>
        </w:rPr>
        <w:t>o nočním klidu</w:t>
      </w:r>
    </w:p>
    <w:p>
      <w:pPr>
        <w:pStyle w:val="Normal"/>
        <w:rPr>
          <w:rFonts w:ascii="Arial" w:hAnsi="Arial" w:cs="Arial"/>
          <w:b/>
          <w:sz w:val="22"/>
          <w:szCs w:val="22"/>
          <w:u w:val="single"/>
        </w:rPr>
      </w:pPr>
      <w:r>
        <w:rPr>
          <w:rFonts w:cs="Arial" w:ascii="Arial" w:hAnsi="Arial"/>
          <w:b/>
          <w:sz w:val="22"/>
          <w:szCs w:val="22"/>
          <w:u w:val="single"/>
        </w:rPr>
      </w:r>
    </w:p>
    <w:p>
      <w:pPr>
        <w:pStyle w:val="Normal"/>
        <w:spacing w:before="0" w:after="120"/>
        <w:jc w:val="both"/>
        <w:rPr>
          <w:rFonts w:ascii="Arial" w:hAnsi="Arial" w:cs="Arial"/>
          <w:sz w:val="22"/>
          <w:szCs w:val="22"/>
        </w:rPr>
      </w:pPr>
      <w:r>
        <w:rPr>
          <w:rFonts w:cs="Arial" w:ascii="Arial" w:hAnsi="Arial"/>
          <w:sz w:val="22"/>
          <w:szCs w:val="22"/>
        </w:rPr>
        <w:t>Zastupitelstvo obce Hněvotín se na svém zasedání dne 11. 04. 2023 usnesením č. 13/4Z/2023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pPr>
        <w:pStyle w:val="Normal"/>
        <w:spacing w:before="0" w:after="120"/>
        <w:jc w:val="both"/>
        <w:rPr>
          <w:rFonts w:ascii="Arial" w:hAnsi="Arial" w:cs="Arial"/>
          <w:sz w:val="22"/>
          <w:szCs w:val="22"/>
        </w:rPr>
      </w:pPr>
      <w:r>
        <w:rPr>
          <w:rFonts w:cs="Arial" w:ascii="Arial" w:hAnsi="Arial"/>
          <w:sz w:val="22"/>
          <w:szCs w:val="22"/>
        </w:rPr>
      </w:r>
    </w:p>
    <w:p>
      <w:pPr>
        <w:pStyle w:val="Normal"/>
        <w:jc w:val="center"/>
        <w:rPr>
          <w:rFonts w:ascii="Arial" w:hAnsi="Arial" w:cs="Arial"/>
          <w:b/>
          <w:sz w:val="22"/>
          <w:szCs w:val="22"/>
        </w:rPr>
      </w:pPr>
      <w:r>
        <w:rPr>
          <w:rFonts w:cs="Arial" w:ascii="Arial" w:hAnsi="Arial"/>
          <w:b/>
          <w:sz w:val="22"/>
          <w:szCs w:val="22"/>
        </w:rPr>
        <w:t>Čl. 1</w:t>
      </w:r>
    </w:p>
    <w:p>
      <w:pPr>
        <w:pStyle w:val="Normal"/>
        <w:jc w:val="center"/>
        <w:rPr>
          <w:rFonts w:ascii="Arial" w:hAnsi="Arial" w:cs="Arial"/>
          <w:b/>
          <w:sz w:val="22"/>
          <w:szCs w:val="22"/>
        </w:rPr>
      </w:pPr>
      <w:r>
        <w:rPr>
          <w:rFonts w:cs="Arial" w:ascii="Arial" w:hAnsi="Arial"/>
          <w:b/>
          <w:sz w:val="22"/>
          <w:szCs w:val="22"/>
        </w:rPr>
        <w:t xml:space="preserve">Předmět </w:t>
      </w:r>
    </w:p>
    <w:p>
      <w:pPr>
        <w:pStyle w:val="Normal"/>
        <w:jc w:val="both"/>
        <w:rPr>
          <w:rFonts w:ascii="Arial" w:hAnsi="Arial" w:cs="Arial"/>
          <w:b/>
          <w:sz w:val="22"/>
          <w:szCs w:val="22"/>
        </w:rPr>
      </w:pPr>
      <w:r>
        <w:rPr>
          <w:rFonts w:cs="Arial" w:ascii="Arial" w:hAnsi="Arial"/>
          <w:b/>
          <w:sz w:val="22"/>
          <w:szCs w:val="22"/>
        </w:rPr>
      </w:r>
    </w:p>
    <w:p>
      <w:pPr>
        <w:pStyle w:val="Normal"/>
        <w:spacing w:before="0" w:after="120"/>
        <w:jc w:val="both"/>
        <w:rPr>
          <w:rFonts w:ascii="Arial" w:hAnsi="Arial" w:cs="Arial"/>
          <w:sz w:val="22"/>
          <w:szCs w:val="22"/>
        </w:rPr>
      </w:pPr>
      <w:r>
        <w:rPr>
          <w:rFonts w:cs="Arial" w:ascii="Arial" w:hAnsi="Arial"/>
          <w:sz w:val="22"/>
          <w:szCs w:val="22"/>
        </w:rPr>
        <w:t>Předmětem této obecně závazné vyhlášky je stanovení výjimečných případů, při nichž je doba nočního klidu vymezena dobou kratší nebo při nichž nemusí být doba nočního klidu dodržována.</w:t>
      </w:r>
    </w:p>
    <w:p>
      <w:pPr>
        <w:pStyle w:val="Normal"/>
        <w:jc w:val="center"/>
        <w:rPr>
          <w:rFonts w:ascii="Arial" w:hAnsi="Arial" w:cs="Arial"/>
          <w:b/>
          <w:sz w:val="22"/>
          <w:szCs w:val="22"/>
        </w:rPr>
      </w:pPr>
      <w:r>
        <w:rPr>
          <w:rFonts w:cs="Arial" w:ascii="Arial" w:hAnsi="Arial"/>
          <w:b/>
          <w:sz w:val="22"/>
          <w:szCs w:val="22"/>
        </w:rPr>
        <w:t>Čl. 2</w:t>
      </w:r>
    </w:p>
    <w:p>
      <w:pPr>
        <w:pStyle w:val="Normal"/>
        <w:jc w:val="center"/>
        <w:rPr>
          <w:rFonts w:ascii="Arial" w:hAnsi="Arial" w:cs="Arial"/>
          <w:b/>
          <w:sz w:val="22"/>
          <w:szCs w:val="22"/>
        </w:rPr>
      </w:pPr>
      <w:r>
        <w:rPr>
          <w:rFonts w:cs="Arial" w:ascii="Arial" w:hAnsi="Arial"/>
          <w:b/>
          <w:sz w:val="22"/>
          <w:szCs w:val="22"/>
        </w:rPr>
        <w:t>Doba nočního klidu</w:t>
      </w:r>
    </w:p>
    <w:p>
      <w:pPr>
        <w:pStyle w:val="Normal"/>
        <w:jc w:val="center"/>
        <w:rPr>
          <w:rFonts w:ascii="Arial" w:hAnsi="Arial" w:cs="Arial"/>
          <w:b/>
          <w:sz w:val="22"/>
          <w:szCs w:val="22"/>
        </w:rPr>
      </w:pPr>
      <w:r>
        <w:rPr>
          <w:rFonts w:cs="Arial" w:ascii="Arial" w:hAnsi="Arial"/>
          <w:b/>
          <w:sz w:val="22"/>
          <w:szCs w:val="22"/>
        </w:rPr>
      </w:r>
    </w:p>
    <w:p>
      <w:pPr>
        <w:pStyle w:val="Normal"/>
        <w:spacing w:before="0" w:after="120"/>
        <w:jc w:val="both"/>
        <w:rPr>
          <w:rFonts w:ascii="Arial" w:hAnsi="Arial" w:cs="Arial"/>
          <w:sz w:val="22"/>
          <w:szCs w:val="22"/>
        </w:rPr>
      </w:pPr>
      <w:r>
        <w:rPr>
          <w:rFonts w:cs="Arial" w:ascii="Arial" w:hAnsi="Arial"/>
          <w:sz w:val="22"/>
          <w:szCs w:val="22"/>
        </w:rPr>
        <w:t>Dobou nočního klidu se rozumí doba od dvacáté druhé do šesté hodiny.</w:t>
      </w:r>
      <w:r>
        <w:rPr>
          <w:rStyle w:val="Znakypropoznmkupodarou"/>
          <w:rStyle w:val="Ukotvenpoznmkypodarou"/>
          <w:rFonts w:cs="Arial" w:ascii="Arial" w:hAnsi="Arial"/>
          <w:sz w:val="22"/>
          <w:szCs w:val="22"/>
        </w:rPr>
        <w:footnoteReference w:id="2"/>
      </w:r>
    </w:p>
    <w:p>
      <w:pPr>
        <w:pStyle w:val="Normal"/>
        <w:spacing w:before="0" w:after="120"/>
        <w:rPr>
          <w:rFonts w:ascii="Arial" w:hAnsi="Arial" w:cs="Arial"/>
          <w:sz w:val="22"/>
          <w:szCs w:val="22"/>
        </w:rPr>
      </w:pPr>
      <w:r>
        <w:rPr>
          <w:rFonts w:cs="Arial" w:ascii="Arial" w:hAnsi="Arial"/>
          <w:sz w:val="22"/>
          <w:szCs w:val="22"/>
        </w:rPr>
      </w:r>
    </w:p>
    <w:p>
      <w:pPr>
        <w:pStyle w:val="Normal"/>
        <w:jc w:val="center"/>
        <w:rPr>
          <w:rFonts w:ascii="Arial" w:hAnsi="Arial" w:cs="Arial"/>
          <w:b/>
          <w:sz w:val="22"/>
          <w:szCs w:val="22"/>
        </w:rPr>
      </w:pPr>
      <w:r>
        <w:rPr>
          <w:rFonts w:cs="Arial" w:ascii="Arial" w:hAnsi="Arial"/>
          <w:b/>
          <w:sz w:val="22"/>
          <w:szCs w:val="22"/>
        </w:rPr>
        <w:t>Čl. 3</w:t>
      </w:r>
    </w:p>
    <w:p>
      <w:pPr>
        <w:pStyle w:val="Normal"/>
        <w:jc w:val="center"/>
        <w:rPr>
          <w:rFonts w:ascii="Arial" w:hAnsi="Arial" w:cs="Arial"/>
          <w:b/>
          <w:sz w:val="22"/>
          <w:szCs w:val="22"/>
        </w:rPr>
      </w:pPr>
      <w:r>
        <w:rPr>
          <w:rFonts w:cs="Arial" w:ascii="Arial" w:hAnsi="Arial"/>
          <w:b/>
          <w:sz w:val="22"/>
          <w:szCs w:val="22"/>
        </w:rPr>
        <w:t>Stanovení výjimečných případů, při nichž je doba nočního klidu vymezena dobou kratší nebo při nichž nemusí být doba nočního klidu dodržována</w:t>
      </w:r>
    </w:p>
    <w:p>
      <w:pPr>
        <w:pStyle w:val="Normal"/>
        <w:tabs>
          <w:tab w:val="clear" w:pos="708"/>
          <w:tab w:val="left" w:pos="284" w:leader="none"/>
        </w:tabs>
        <w:spacing w:before="0" w:after="120"/>
        <w:rPr>
          <w:rFonts w:ascii="Arial" w:hAnsi="Arial" w:cs="Arial"/>
          <w:b/>
          <w:i/>
          <w:i/>
          <w:color w:val="FF0000"/>
          <w:sz w:val="22"/>
          <w:szCs w:val="22"/>
        </w:rPr>
      </w:pPr>
      <w:r>
        <w:rPr>
          <w:rFonts w:cs="Arial" w:ascii="Arial" w:hAnsi="Arial"/>
          <w:b/>
          <w:i/>
          <w:color w:val="FF0000"/>
          <w:sz w:val="22"/>
          <w:szCs w:val="22"/>
        </w:rPr>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t>1) Doba nočního klidu nemusí být dodržována:</w:t>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t>a) v noci z poslední soboty v měsíci květnu na neděli z důvodu pravidelného každoročního konání kácení máje,</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b) v noci z poslední soboty v měsíci srpnu na neděli z důvodu pravidelného konání pivního festivalu,</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c) v noci z 31. prosince na 1. ledna z důvodu oslavy příchodu nového roku.</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t>2) Doba nočního klidu se vymezuje od 23:00 do 6:00 hodin, a to v noci z prvního pátku v měsíci prosinci na sobotu z důvodu tradičního rozsvícení vánočního stromu obce.</w:t>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t>3) Doba nočního klidu se vymezuje od 23:30 do 6:00 hodin, a to v celkovém počtu 5 nocí v období od května do září z důvodu promítání letního kina Provázek.</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 xml:space="preserve">4) Informace o konkrétním termínu konání akcí uvedených v odst. 3 tohoto článku obecně závazné vyhlášky bude zveřejněna obecním úřadem na úřední desce minimálně 5 dnů </w:t>
        <w:br/>
        <w:t xml:space="preserve">před datem konání. </w:t>
      </w:r>
    </w:p>
    <w:p>
      <w:pPr>
        <w:pStyle w:val="Normal"/>
        <w:jc w:val="center"/>
        <w:rPr>
          <w:rFonts w:ascii="Arial" w:hAnsi="Arial" w:cs="Arial"/>
          <w:b/>
          <w:sz w:val="22"/>
          <w:szCs w:val="22"/>
        </w:rPr>
      </w:pPr>
      <w:r>
        <w:rPr>
          <w:rFonts w:cs="Arial" w:ascii="Arial" w:hAnsi="Arial"/>
          <w:b/>
          <w:sz w:val="22"/>
          <w:szCs w:val="22"/>
        </w:rPr>
        <w:t>Čl. 4</w:t>
      </w:r>
    </w:p>
    <w:p>
      <w:pPr>
        <w:pStyle w:val="Normal"/>
        <w:jc w:val="center"/>
        <w:rPr>
          <w:rFonts w:ascii="Arial" w:hAnsi="Arial" w:cs="Arial"/>
          <w:b/>
          <w:sz w:val="22"/>
          <w:szCs w:val="22"/>
        </w:rPr>
      </w:pPr>
      <w:r>
        <w:rPr>
          <w:rFonts w:cs="Arial" w:ascii="Arial" w:hAnsi="Arial"/>
          <w:b/>
          <w:sz w:val="22"/>
          <w:szCs w:val="22"/>
        </w:rPr>
        <w:t>Zrušovací ustanovení</w:t>
      </w:r>
    </w:p>
    <w:p>
      <w:pPr>
        <w:pStyle w:val="Normal"/>
        <w:ind w:left="360" w:hanging="0"/>
        <w:jc w:val="center"/>
        <w:rPr>
          <w:rFonts w:ascii="Arial" w:hAnsi="Arial" w:cs="Arial"/>
          <w:b/>
          <w:sz w:val="22"/>
          <w:szCs w:val="22"/>
          <w:u w:val="single"/>
        </w:rPr>
      </w:pPr>
      <w:r>
        <w:rPr>
          <w:rFonts w:cs="Arial" w:ascii="Arial" w:hAnsi="Arial"/>
          <w:b/>
          <w:sz w:val="22"/>
          <w:szCs w:val="22"/>
          <w:u w:val="single"/>
        </w:rPr>
      </w:r>
    </w:p>
    <w:p>
      <w:pPr>
        <w:pStyle w:val="Normal"/>
        <w:spacing w:lineRule="auto" w:line="288" w:before="120" w:after="0"/>
        <w:jc w:val="both"/>
        <w:rPr>
          <w:rFonts w:ascii="Arial" w:hAnsi="Arial" w:cs="Arial"/>
        </w:rPr>
      </w:pPr>
      <w:bookmarkStart w:id="0" w:name="_Hlk54595723"/>
      <w:r>
        <w:rPr>
          <w:rFonts w:cs="Arial" w:ascii="Arial" w:hAnsi="Arial"/>
          <w:sz w:val="22"/>
          <w:szCs w:val="22"/>
        </w:rPr>
        <w:t xml:space="preserve">Zrušuje se obecně závazná vyhláška </w:t>
      </w:r>
      <w:bookmarkEnd w:id="0"/>
      <w:r>
        <w:rPr>
          <w:rFonts w:cs="Arial" w:ascii="Arial" w:hAnsi="Arial"/>
          <w:sz w:val="22"/>
          <w:szCs w:val="22"/>
        </w:rPr>
        <w:t>č. 1/2016 o nočním klidu ze dne 11. 10. 2016.</w:t>
      </w:r>
    </w:p>
    <w:p>
      <w:pPr>
        <w:pStyle w:val="Normal"/>
        <w:tabs>
          <w:tab w:val="clear" w:pos="708"/>
          <w:tab w:val="left" w:pos="284" w:leader="none"/>
        </w:tabs>
        <w:spacing w:before="0" w:after="120"/>
        <w:rPr>
          <w:rFonts w:ascii="Arial" w:hAnsi="Arial" w:cs="Arial"/>
          <w:i/>
          <w:i/>
          <w:color w:val="FF0000"/>
          <w:sz w:val="22"/>
          <w:szCs w:val="22"/>
        </w:rPr>
      </w:pPr>
      <w:r>
        <w:rPr>
          <w:rFonts w:cs="Arial" w:ascii="Arial" w:hAnsi="Arial"/>
          <w:i/>
          <w:color w:val="FF0000"/>
          <w:sz w:val="22"/>
          <w:szCs w:val="22"/>
        </w:rPr>
      </w:r>
    </w:p>
    <w:p>
      <w:pPr>
        <w:pStyle w:val="Normal"/>
        <w:jc w:val="center"/>
        <w:rPr>
          <w:rFonts w:ascii="Arial" w:hAnsi="Arial" w:cs="Arial"/>
          <w:b/>
          <w:sz w:val="22"/>
          <w:szCs w:val="22"/>
        </w:rPr>
      </w:pPr>
      <w:r>
        <w:rPr>
          <w:rFonts w:cs="Arial" w:ascii="Arial" w:hAnsi="Arial"/>
          <w:b/>
          <w:sz w:val="22"/>
          <w:szCs w:val="22"/>
        </w:rPr>
        <w:t>Čl. 5</w:t>
      </w:r>
    </w:p>
    <w:p>
      <w:pPr>
        <w:pStyle w:val="Normal"/>
        <w:jc w:val="center"/>
        <w:rPr>
          <w:rFonts w:ascii="Arial" w:hAnsi="Arial" w:cs="Arial"/>
          <w:b/>
          <w:sz w:val="22"/>
          <w:szCs w:val="22"/>
        </w:rPr>
      </w:pPr>
      <w:r>
        <w:rPr>
          <w:rFonts w:cs="Arial" w:ascii="Arial" w:hAnsi="Arial"/>
          <w:b/>
          <w:sz w:val="22"/>
          <w:szCs w:val="22"/>
        </w:rPr>
        <w:t>Účinnost</w:t>
      </w:r>
    </w:p>
    <w:p>
      <w:pPr>
        <w:pStyle w:val="Normal"/>
        <w:jc w:val="center"/>
        <w:rPr>
          <w:rFonts w:ascii="Arial" w:hAnsi="Arial" w:cs="Arial"/>
          <w:b/>
          <w:sz w:val="22"/>
          <w:szCs w:val="22"/>
        </w:rPr>
      </w:pPr>
      <w:r>
        <w:rPr>
          <w:rFonts w:cs="Arial" w:ascii="Arial" w:hAnsi="Arial"/>
          <w:b/>
          <w:sz w:val="22"/>
          <w:szCs w:val="22"/>
        </w:rPr>
      </w:r>
    </w:p>
    <w:p>
      <w:pPr>
        <w:pStyle w:val="Normal"/>
        <w:jc w:val="both"/>
        <w:rPr>
          <w:rFonts w:ascii="Arial" w:hAnsi="Arial" w:cs="Arial"/>
          <w:sz w:val="22"/>
          <w:szCs w:val="22"/>
        </w:rPr>
      </w:pPr>
      <w:r>
        <w:rPr>
          <w:rFonts w:cs="Arial" w:ascii="Arial" w:hAnsi="Arial"/>
          <w:sz w:val="22"/>
          <w:szCs w:val="22"/>
        </w:rPr>
        <w:t>Tato obecně závazná vyhláška nabývá účinnosti počátkem patnáctého dne následujícího po dni jejího vyhlášení.</w:t>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r>
    </w:p>
    <w:p>
      <w:pPr>
        <w:pStyle w:val="Tlotextu"/>
        <w:tabs>
          <w:tab w:val="clear" w:pos="708"/>
          <w:tab w:val="left" w:pos="720" w:leader="none"/>
          <w:tab w:val="left" w:pos="6120" w:leader="none"/>
        </w:tabs>
        <w:spacing w:lineRule="auto" w:line="264" w:before="0" w:after="0"/>
        <w:rPr>
          <w:rFonts w:ascii="Arial" w:hAnsi="Arial" w:cs="Arial"/>
          <w:i/>
          <w:i/>
          <w:sz w:val="22"/>
          <w:szCs w:val="22"/>
        </w:rPr>
      </w:pPr>
      <w:r>
        <w:rPr>
          <w:rFonts w:cs="Arial" w:ascii="Arial" w:hAnsi="Arial"/>
          <w:i/>
          <w:sz w:val="22"/>
          <w:szCs w:val="22"/>
        </w:rPr>
        <w:tab/>
        <w:t>..........................................</w:t>
        <w:tab/>
        <w:t>..........................................</w:t>
      </w:r>
    </w:p>
    <w:p>
      <w:pPr>
        <w:pStyle w:val="Tlotextu"/>
        <w:tabs>
          <w:tab w:val="clear" w:pos="708"/>
          <w:tab w:val="left" w:pos="1080" w:leader="none"/>
          <w:tab w:val="left" w:pos="6660" w:leader="none"/>
        </w:tabs>
        <w:spacing w:lineRule="auto" w:line="264" w:before="0" w:after="0"/>
        <w:rPr>
          <w:rFonts w:ascii="Arial" w:hAnsi="Arial" w:cs="Arial"/>
          <w:sz w:val="22"/>
          <w:szCs w:val="22"/>
        </w:rPr>
      </w:pPr>
      <w:r>
        <w:rPr>
          <w:rFonts w:cs="Arial" w:ascii="Arial" w:hAnsi="Arial"/>
          <w:sz w:val="22"/>
          <w:szCs w:val="22"/>
        </w:rPr>
        <w:tab/>
        <w:t>Mgr. Lucie Přikrylová, v r.</w:t>
        <w:tab/>
        <w:tab/>
        <w:t>Petr Niessner, v. r.</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tab/>
        <w:t>Místostarosta</w:t>
        <w:tab/>
        <w:tab/>
        <w:t>starosta</w:t>
      </w:r>
    </w:p>
    <w:p>
      <w:pPr>
        <w:pStyle w:val="Normal"/>
        <w:spacing w:before="0" w:after="120"/>
        <w:rPr>
          <w:rFonts w:ascii="Arial" w:hAnsi="Arial" w:cs="Arial"/>
          <w:sz w:val="22"/>
          <w:szCs w:val="22"/>
        </w:rPr>
      </w:pPr>
      <w:r>
        <w:rPr>
          <w:rFonts w:cs="Arial" w:ascii="Arial" w:hAnsi="Arial"/>
          <w:sz w:val="22"/>
          <w:szCs w:val="22"/>
        </w:rPr>
      </w:r>
    </w:p>
    <w:sectPr>
      <w:footnotePr>
        <w:numFmt w:val="decimal"/>
      </w:footnotePr>
      <w:type w:val="nextPage"/>
      <w:pgSz w:w="11906" w:h="16838"/>
      <w:pgMar w:left="1417" w:right="1417" w:gutter="0" w:header="0" w:top="709" w:footer="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swiss"/>
    <w:pitch w:val="variable"/>
  </w:font>
  <w:font w:name="Liberation Sans">
    <w:altName w:val="Arial"/>
    <w:charset w:val="ee"/>
    <w:family w:val="swiss"/>
    <w:pitch w:val="variable"/>
  </w:font>
  <w:font w:name="Tahoma">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rFonts w:ascii="Arial" w:hAnsi="Arial" w:cs="Arial"/>
          <w:i/>
          <w:i/>
        </w:rPr>
      </w:pPr>
      <w:r>
        <w:rPr>
          <w:rStyle w:val="Znakypropoznmkupodarou"/>
        </w:rPr>
        <w:footnoteRef/>
      </w:r>
      <w:r>
        <w:rPr/>
        <w:t xml:space="preserve"> </w:t>
      </w:r>
      <w:r>
        <w:rPr>
          <w:rFonts w:cs="Arial" w:ascii="Arial" w:hAnsi="Arial"/>
        </w:rPr>
        <w:t xml:space="preserve">dle ustanovení § 5 odst. 7 zákona č. 251/2016 Sb., o některých přestupcích, ve znění pozdějších předpisů, platí, že: </w:t>
      </w:r>
      <w:r>
        <w:rPr>
          <w:rFonts w:cs="Arial" w:ascii="Arial" w:hAnsi="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pPr>
        <w:pStyle w:val="Poznmkapodarou"/>
        <w:jc w:val="both"/>
        <w:rPr>
          <w:rFonts w:ascii="Arial" w:hAnsi="Arial" w:cs="Arial"/>
          <w:i/>
          <w:i/>
        </w:rPr>
      </w:pPr>
      <w:r>
        <w:rPr>
          <w:rFonts w:cs="Arial" w:ascii="Arial" w:hAnsi="Arial"/>
          <w:i/>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cs-CZ"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cs-CZ" w:bidi="ar-SA" w:eastAsia="zh-CN"/>
    </w:rPr>
  </w:style>
  <w:style w:type="paragraph" w:styleId="Nadpis2">
    <w:name w:val="Heading 2"/>
    <w:basedOn w:val="Normal"/>
    <w:next w:val="Normal"/>
    <w:qFormat/>
    <w:pPr>
      <w:keepNext w:val="true"/>
      <w:numPr>
        <w:ilvl w:val="1"/>
        <w:numId w:val="1"/>
      </w:numPr>
      <w:jc w:val="both"/>
      <w:outlineLvl w:val="1"/>
    </w:pPr>
    <w:rPr>
      <w:szCs w:val="20"/>
      <w:u w:val="single"/>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7z0">
    <w:name w:val="WW8Num7z0"/>
    <w:qFormat/>
    <w:rPr/>
  </w:style>
  <w:style w:type="character" w:styleId="WW8Num8z0">
    <w:name w:val="WW8Num8z0"/>
    <w:qFormat/>
    <w:rPr>
      <w:b w:val="false"/>
      <w:u w:val="none"/>
    </w:rPr>
  </w:style>
  <w:style w:type="character" w:styleId="WW8Num9z0">
    <w:name w:val="WW8Num9z0"/>
    <w:qFormat/>
    <w:rPr/>
  </w:style>
  <w:style w:type="character" w:styleId="WW8Num10z0">
    <w:name w:val="WW8Num10z0"/>
    <w:qFormat/>
    <w:rPr/>
  </w:style>
  <w:style w:type="character" w:styleId="WW8Num11z0">
    <w:name w:val="WW8Num11z0"/>
    <w:qFormat/>
    <w:rPr/>
  </w:style>
  <w:style w:type="character" w:styleId="Standardnpsmoodstavce">
    <w:name w:val="Standardní písmo odstavce"/>
    <w:qFormat/>
    <w:rPr/>
  </w:style>
  <w:style w:type="character" w:styleId="Znakypropoznmkupodarou">
    <w:name w:val="Znaky pro poznámku pod čarou"/>
    <w:qFormat/>
    <w:rPr>
      <w:vertAlign w:val="superscript"/>
    </w:rPr>
  </w:style>
  <w:style w:type="character" w:styleId="Odkaznakoment">
    <w:name w:val="Odkaz na komentář"/>
    <w:qFormat/>
    <w:rPr>
      <w:sz w:val="16"/>
      <w:szCs w:val="16"/>
    </w:rPr>
  </w:style>
  <w:style w:type="character" w:styleId="ZkladntextChar">
    <w:name w:val="Základní text Char"/>
    <w:qFormat/>
    <w:rPr>
      <w:sz w:val="24"/>
    </w:rPr>
  </w:style>
  <w:style w:type="character" w:styleId="TextpoznpodarouChar">
    <w:name w:val="Text pozn. pod čarou Char"/>
    <w:qFormat/>
    <w:rPr>
      <w:lang w:val="cs-CZ" w:eastAsia="cs-CZ"/>
    </w:rPr>
  </w:style>
  <w:style w:type="character" w:styleId="TextChar">
    <w:name w:val="Text Char"/>
    <w:qFormat/>
    <w:rPr>
      <w:rFonts w:ascii="Arial" w:hAnsi="Arial" w:cs="Arial"/>
      <w:sz w:val="24"/>
      <w:szCs w:val="24"/>
    </w:rPr>
  </w:style>
  <w:style w:type="character" w:styleId="Internetovodkaz">
    <w:name w:val="Hyperlink"/>
    <w:rPr>
      <w:color w:val="0563C1"/>
      <w:u w:val="single"/>
    </w:rPr>
  </w:style>
  <w:style w:type="character" w:styleId="Ukotvenpoznmkypodarou">
    <w:name w:val="Footnote Reference"/>
    <w:rPr>
      <w:vertAlign w:val="superscript"/>
    </w:rPr>
  </w:style>
  <w:style w:type="character" w:styleId="Ukotvenvysvtlivky">
    <w:name w:val="Endnote Reference"/>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before="0" w:after="120"/>
    </w:pPr>
    <w:rPr>
      <w:szCs w:val="20"/>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Odsazentlatextu">
    <w:name w:val="Body Text Indent"/>
    <w:basedOn w:val="Normal"/>
    <w:pPr>
      <w:ind w:left="708" w:firstLine="357"/>
      <w:jc w:val="both"/>
    </w:pPr>
    <w:rPr>
      <w:szCs w:val="20"/>
    </w:rPr>
  </w:style>
  <w:style w:type="paragraph" w:styleId="Zkladntextodsazen2">
    <w:name w:val="Základní text odsazený 2"/>
    <w:basedOn w:val="Normal"/>
    <w:qFormat/>
    <w:pPr>
      <w:ind w:left="708" w:firstLine="360"/>
      <w:jc w:val="both"/>
    </w:pPr>
    <w:rPr>
      <w:bCs/>
      <w:szCs w:val="20"/>
    </w:rPr>
  </w:style>
  <w:style w:type="paragraph" w:styleId="Zhlavazpat">
    <w:name w:val="Záhlaví a zápatí"/>
    <w:basedOn w:val="Normal"/>
    <w:qFormat/>
    <w:pPr>
      <w:suppressLineNumbers/>
      <w:tabs>
        <w:tab w:val="clear" w:pos="708"/>
        <w:tab w:val="center" w:pos="4819" w:leader="none"/>
        <w:tab w:val="right" w:pos="9638" w:leader="none"/>
      </w:tabs>
    </w:pPr>
    <w:rPr/>
  </w:style>
  <w:style w:type="paragraph" w:styleId="Zhlav">
    <w:name w:val="Header"/>
    <w:basedOn w:val="Normal"/>
    <w:pPr/>
    <w:rPr>
      <w:szCs w:val="20"/>
    </w:rPr>
  </w:style>
  <w:style w:type="paragraph" w:styleId="Poznmkapodarou">
    <w:name w:val="Footnote Text"/>
    <w:basedOn w:val="Normal"/>
    <w:pPr/>
    <w:rPr>
      <w:sz w:val="20"/>
      <w:szCs w:val="20"/>
      <w:lang w:val="cs-CZ" w:eastAsia="cs-CZ"/>
    </w:rPr>
  </w:style>
  <w:style w:type="paragraph" w:styleId="NormlnIMP">
    <w:name w:val="Normální_IMP"/>
    <w:basedOn w:val="Normal"/>
    <w:qFormat/>
    <w:pPr>
      <w:suppressAutoHyphens w:val="true"/>
      <w:overflowPunct w:val="false"/>
      <w:autoSpaceDE w:val="false"/>
      <w:spacing w:lineRule="auto" w:line="228"/>
      <w:jc w:val="both"/>
      <w:textAlignment w:val="baseline"/>
    </w:pPr>
    <w:rPr>
      <w:szCs w:val="20"/>
    </w:rPr>
  </w:style>
  <w:style w:type="paragraph" w:styleId="Textkomente">
    <w:name w:val="Text komentáře"/>
    <w:basedOn w:val="Normal"/>
    <w:qFormat/>
    <w:pPr/>
    <w:rPr>
      <w:sz w:val="20"/>
      <w:szCs w:val="20"/>
    </w:rPr>
  </w:style>
  <w:style w:type="paragraph" w:styleId="Zkladntextodsazen3">
    <w:name w:val="Základní text odsazený 3"/>
    <w:basedOn w:val="Normal"/>
    <w:qFormat/>
    <w:pPr>
      <w:widowControl w:val="false"/>
      <w:ind w:left="540" w:hanging="540"/>
      <w:jc w:val="both"/>
    </w:pPr>
    <w:rPr>
      <w:bCs/>
    </w:rPr>
  </w:style>
  <w:style w:type="paragraph" w:styleId="Textbubliny">
    <w:name w:val="Text bubliny"/>
    <w:basedOn w:val="Normal"/>
    <w:qFormat/>
    <w:pPr/>
    <w:rPr>
      <w:rFonts w:ascii="Tahoma" w:hAnsi="Tahoma" w:cs="Tahoma"/>
      <w:sz w:val="16"/>
      <w:szCs w:val="16"/>
    </w:rPr>
  </w:style>
  <w:style w:type="paragraph" w:styleId="Odstavecseseznamem">
    <w:name w:val="Odstavec se seznamem"/>
    <w:basedOn w:val="Normal"/>
    <w:qFormat/>
    <w:pPr>
      <w:spacing w:before="0" w:after="0"/>
      <w:ind w:left="720" w:hanging="0"/>
      <w:contextualSpacing/>
    </w:pPr>
    <w:rPr/>
  </w:style>
  <w:style w:type="paragraph" w:styleId="Text">
    <w:name w:val="Text"/>
    <w:basedOn w:val="Normal"/>
    <w:qFormat/>
    <w:pPr/>
    <w:rPr>
      <w:rFonts w:ascii="Arial" w:hAnsi="Arial" w:cs="Arial"/>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ou.hnevotin@volny.cz" TargetMode="Externa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LibreOffice/7.5.0.3$Windows_X86_64 LibreOffice_project/c21113d003cd3efa8c53188764377a8272d9d6de</Application>
  <AppVersion>15.0000</AppVersion>
  <Pages>2</Pages>
  <Words>423</Words>
  <Characters>2270</Characters>
  <CharactersWithSpaces>2671</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2023-05-04T10:44:00Z</dcterms:created>
  <dc:creator>DA210036</dc:creator>
  <dc:description/>
  <cp:keywords/>
  <dc:language>cs-CZ</dc:language>
  <cp:lastModifiedBy>Aneta Glogarová</cp:lastModifiedBy>
  <cp:lastPrinted>2007-03-05T11:30:00Z</cp:lastPrinted>
  <dcterms:modified xsi:type="dcterms:W3CDTF">2023-05-04T10:44:00Z</dcterms:modified>
  <cp:revision>2</cp:revision>
  <dc:subject/>
  <dc:title>Vzor obecně závazné vyhlášky obce o stanovení systému shromažďování, sběru, přepravy, třídění, využívání a odstraňování komuná</dc:title>
</cp:coreProperties>
</file>