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Arial" w:hAnsi="Arial" w:cs="Arial"/>
          <w:bCs/>
          <w:sz w:val="16"/>
          <w:szCs w:val="16"/>
        </w:rPr>
      </w:pPr>
      <w:r>
        <w:drawing>
          <wp:anchor behindDoc="0" distT="0" distB="0" distL="0" distR="114935" simplePos="0" locked="0" layoutInCell="0" allowOverlap="1" relativeHeight="2">
            <wp:simplePos x="0" y="0"/>
            <wp:positionH relativeFrom="column">
              <wp:align>left</wp:align>
            </wp:positionH>
            <wp:positionV relativeFrom="paragraph">
              <wp:posOffset>635</wp:posOffset>
            </wp:positionV>
            <wp:extent cx="781050" cy="883920"/>
            <wp:effectExtent l="0" t="0" r="0" b="0"/>
            <wp:wrapSquare wrapText="bothSides"/>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rcRect l="-98" t="-87" r="-98" b="-87"/>
                    <a:stretch>
                      <a:fillRect/>
                    </a:stretch>
                  </pic:blipFill>
                  <pic:spPr bwMode="auto">
                    <a:xfrm>
                      <a:off x="0" y="0"/>
                      <a:ext cx="781050" cy="883920"/>
                    </a:xfrm>
                    <a:prstGeom prst="rect">
                      <a:avLst/>
                    </a:prstGeom>
                  </pic:spPr>
                </pic:pic>
              </a:graphicData>
            </a:graphic>
          </wp:anchor>
        </w:drawing>
      </w:r>
      <w:r>
        <w:rPr>
          <w:rFonts w:cs="Arial" w:ascii="Arial" w:hAnsi="Arial"/>
          <w:bCs/>
          <w:sz w:val="18"/>
          <w:szCs w:val="18"/>
        </w:rPr>
        <w:t>Obec Hněvotín</w:t>
        <w:br/>
        <w:t>783 47 Hněvotín 47</w:t>
        <w:br/>
        <w:t>Tel. +420 585 944 808</w:t>
        <w:br/>
        <w:t xml:space="preserve">e-mail: </w:t>
      </w:r>
      <w:hyperlink r:id="rId3">
        <w:r>
          <w:rPr>
            <w:rStyle w:val="Internetovodkaz"/>
            <w:rFonts w:cs="Arial" w:ascii="Arial" w:hAnsi="Arial"/>
            <w:bCs/>
            <w:sz w:val="18"/>
            <w:szCs w:val="18"/>
          </w:rPr>
          <w:t>ou.hnevotin@volny.cz</w:t>
        </w:r>
      </w:hyperlink>
      <w:r>
        <w:rPr>
          <w:rFonts w:cs="Arial" w:ascii="Arial" w:hAnsi="Arial"/>
          <w:bCs/>
          <w:sz w:val="18"/>
          <w:szCs w:val="18"/>
        </w:rPr>
        <w:br/>
        <w:t>www.hnevotin.cz</w:t>
      </w:r>
      <w:r>
        <w:rPr>
          <w:rFonts w:cs="Arial" w:ascii="Arial" w:hAnsi="Arial"/>
          <w:bCs/>
          <w:sz w:val="16"/>
          <w:szCs w:val="16"/>
        </w:rPr>
        <w:br w:type="textWrapping" w:clear="all"/>
      </w:r>
    </w:p>
    <w:p>
      <w:pPr>
        <w:pStyle w:val="Zhlav"/>
        <w:tabs>
          <w:tab w:val="clear" w:pos="708"/>
        </w:tabs>
        <w:rPr>
          <w:rFonts w:ascii="Arial" w:hAnsi="Arial" w:cs="Arial"/>
          <w:bCs/>
          <w:sz w:val="16"/>
          <w:szCs w:val="16"/>
        </w:rPr>
      </w:pPr>
      <w:r>
        <w:rPr>
          <w:rFonts w:cs="Arial" w:ascii="Arial" w:hAnsi="Arial"/>
          <w:bCs/>
          <w:sz w:val="16"/>
          <w:szCs w:val="16"/>
        </w:rPr>
      </w:r>
    </w:p>
    <w:p>
      <w:pPr>
        <w:pStyle w:val="Normal"/>
        <w:tabs>
          <w:tab w:val="clear" w:pos="708"/>
          <w:tab w:val="left" w:pos="3544" w:leader="none"/>
        </w:tabs>
        <w:jc w:val="center"/>
        <w:rPr>
          <w:rFonts w:ascii="Arial" w:hAnsi="Arial" w:cs="Arial"/>
          <w:b/>
          <w:bCs/>
        </w:rPr>
      </w:pPr>
      <w:r>
        <w:rPr>
          <w:rFonts w:cs="Arial" w:ascii="Arial" w:hAnsi="Arial"/>
          <w:b/>
          <w:bCs/>
        </w:rPr>
        <w:t>OBEC HNĚVOTÍN</w:t>
      </w:r>
    </w:p>
    <w:p>
      <w:pPr>
        <w:pStyle w:val="Normal"/>
        <w:spacing w:lineRule="auto" w:line="276"/>
        <w:jc w:val="center"/>
        <w:rPr>
          <w:rFonts w:ascii="Arial" w:hAnsi="Arial" w:cs="Arial"/>
          <w:b/>
        </w:rPr>
      </w:pPr>
      <w:r>
        <w:rPr>
          <w:rFonts w:cs="Arial" w:ascii="Arial" w:hAnsi="Arial"/>
          <w:b/>
          <w:bCs/>
        </w:rPr>
        <w:t>Zastupitelstvo obce Hněvotín</w:t>
      </w:r>
    </w:p>
    <w:p>
      <w:pPr>
        <w:pStyle w:val="Normal"/>
        <w:spacing w:lineRule="auto" w:line="276"/>
        <w:jc w:val="center"/>
        <w:rPr>
          <w:rFonts w:ascii="Arial" w:hAnsi="Arial" w:cs="Arial"/>
          <w:b/>
        </w:rPr>
      </w:pPr>
      <w:r>
        <w:rPr>
          <w:rFonts w:cs="Arial" w:ascii="Arial" w:hAnsi="Arial"/>
          <w:b/>
        </w:rPr>
        <w:t>Obecně závazná vyhláška obce Hněvotín,</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rPr>
      </w:pPr>
      <w:r>
        <w:rPr>
          <w:rFonts w:cs="Arial" w:ascii="Arial" w:hAnsi="Arial"/>
          <w:b/>
        </w:rPr>
        <w:t>o nočním klidu</w:t>
      </w:r>
    </w:p>
    <w:p>
      <w:pPr>
        <w:pStyle w:val="Normal"/>
        <w:rPr>
          <w:rFonts w:ascii="Arial" w:hAnsi="Arial" w:cs="Arial"/>
          <w:b/>
          <w:sz w:val="22"/>
          <w:szCs w:val="22"/>
          <w:u w:val="single"/>
        </w:rPr>
      </w:pPr>
      <w:r>
        <w:rPr>
          <w:rFonts w:cs="Arial" w:ascii="Arial" w:hAnsi="Arial"/>
          <w:b/>
          <w:sz w:val="22"/>
          <w:szCs w:val="22"/>
          <w:u w:val="single"/>
        </w:rPr>
      </w:r>
    </w:p>
    <w:p>
      <w:pPr>
        <w:pStyle w:val="Normal"/>
        <w:spacing w:before="0" w:after="120"/>
        <w:jc w:val="both"/>
        <w:rPr>
          <w:rFonts w:ascii="Arial" w:hAnsi="Arial" w:cs="Arial"/>
          <w:sz w:val="22"/>
          <w:szCs w:val="22"/>
        </w:rPr>
      </w:pPr>
      <w:r>
        <w:rPr>
          <w:rFonts w:cs="Arial" w:ascii="Arial" w:hAnsi="Arial"/>
          <w:sz w:val="22"/>
          <w:szCs w:val="22"/>
        </w:rPr>
        <w:t>Zastupitelstvo obce Hněvotín se na svém zasedání dne 11. 04. 2023 usnesením č. 13/4Z/2023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Čl. 1</w:t>
      </w:r>
    </w:p>
    <w:p>
      <w:pPr>
        <w:pStyle w:val="Normal"/>
        <w:jc w:val="center"/>
        <w:rPr>
          <w:rFonts w:ascii="Arial" w:hAnsi="Arial" w:cs="Arial"/>
          <w:b/>
          <w:sz w:val="22"/>
          <w:szCs w:val="22"/>
        </w:rPr>
      </w:pPr>
      <w:r>
        <w:rPr>
          <w:rFonts w:cs="Arial" w:ascii="Arial" w:hAnsi="Arial"/>
          <w:b/>
          <w:sz w:val="22"/>
          <w:szCs w:val="22"/>
        </w:rPr>
        <w:t xml:space="preserve">Předmět </w:t>
      </w:r>
    </w:p>
    <w:p>
      <w:pPr>
        <w:pStyle w:val="Normal"/>
        <w:jc w:val="both"/>
        <w:rPr>
          <w:rFonts w:ascii="Arial" w:hAnsi="Arial" w:cs="Arial"/>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obecně závazné vyhlášky je stanovení výjimečných případů, při nichž je doba nočního klidu vymezena dobou kratší nebo při nichž nemusí být doba nočního klidu dodržována.</w:t>
      </w:r>
    </w:p>
    <w:p>
      <w:pPr>
        <w:pStyle w:val="Normal"/>
        <w:jc w:val="center"/>
        <w:rPr>
          <w:rFonts w:ascii="Arial" w:hAnsi="Arial" w:cs="Arial"/>
          <w:b/>
          <w:sz w:val="22"/>
          <w:szCs w:val="22"/>
        </w:rPr>
      </w:pPr>
      <w:r>
        <w:rPr>
          <w:rFonts w:cs="Arial" w:ascii="Arial" w:hAnsi="Arial"/>
          <w:b/>
          <w:sz w:val="22"/>
          <w:szCs w:val="22"/>
        </w:rPr>
        <w:t>Čl. 2</w:t>
      </w:r>
    </w:p>
    <w:p>
      <w:pPr>
        <w:pStyle w:val="Normal"/>
        <w:jc w:val="center"/>
        <w:rPr>
          <w:rFonts w:ascii="Arial" w:hAnsi="Arial" w:cs="Arial"/>
          <w:b/>
          <w:sz w:val="22"/>
          <w:szCs w:val="22"/>
        </w:rPr>
      </w:pPr>
      <w:r>
        <w:rPr>
          <w:rFonts w:cs="Arial" w:ascii="Arial" w:hAnsi="Arial"/>
          <w:b/>
          <w:sz w:val="22"/>
          <w:szCs w:val="22"/>
        </w:rPr>
        <w:t>Doba nočního klidu</w:t>
      </w:r>
    </w:p>
    <w:p>
      <w:pPr>
        <w:pStyle w:val="Normal"/>
        <w:jc w:val="center"/>
        <w:rPr>
          <w:rFonts w:ascii="Arial" w:hAnsi="Arial" w:cs="Arial"/>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Znakypropoznmkupodarou"/>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Čl. 3</w:t>
      </w:r>
    </w:p>
    <w:p>
      <w:pPr>
        <w:pStyle w:val="Normal"/>
        <w:jc w:val="center"/>
        <w:rPr>
          <w:rFonts w:ascii="Arial" w:hAnsi="Arial" w:cs="Arial"/>
          <w:b/>
          <w:sz w:val="22"/>
          <w:szCs w:val="22"/>
        </w:rPr>
      </w:pPr>
      <w:r>
        <w:rPr>
          <w:rFonts w:cs="Arial" w:ascii="Arial" w:hAnsi="Arial"/>
          <w:b/>
          <w:sz w:val="22"/>
          <w:szCs w:val="22"/>
        </w:rPr>
        <w:t>Stanovení výjimečných případů, při nichž je doba nočního klidu vymezena dobou kratší nebo při nichž nemusí být doba nočního klidu dodržována</w:t>
      </w:r>
    </w:p>
    <w:p>
      <w:pPr>
        <w:pStyle w:val="Normal"/>
        <w:tabs>
          <w:tab w:val="clear" w:pos="708"/>
          <w:tab w:val="left" w:pos="284" w:leader="none"/>
        </w:tabs>
        <w:spacing w:before="0" w:after="120"/>
        <w:rPr>
          <w:rFonts w:ascii="Arial" w:hAnsi="Arial" w:cs="Arial"/>
          <w:b/>
          <w:i/>
          <w:i/>
          <w:color w:val="FF0000"/>
          <w:sz w:val="22"/>
          <w:szCs w:val="22"/>
        </w:rPr>
      </w:pPr>
      <w:r>
        <w:rPr>
          <w:rFonts w:cs="Arial" w:ascii="Arial" w:hAnsi="Arial"/>
          <w:b/>
          <w:i/>
          <w:color w:val="FF0000"/>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1) Doba nočního klidu nemusí být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a) v noci z poslední soboty v měsíci květnu na neděli z důvodu pravidelného každoročního konání kácení máje,</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b) v noci z poslední soboty v měsíci srpnu na neděli z důvodu pravidelného konání pivního festivalu,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c) v noci z 31. prosince na 1. ledna z důvodu oslavy příchodu nového roku.</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2) Doba nočního klidu se vymezuje od 23:00 do 6:00 hodin, a to v noci z prvního pátku v měsíci prosinci na sobotu z důvodu tradičního rozsvícení vánočního stromu obce.</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3) Doba nočního klidu se vymezuje od 23:30 do 6:00 hodin, a to v celkovém počtu 5 nocí v období od května do září z důvodu promítání letního kina Provázek.</w:t>
      </w:r>
    </w:p>
    <w:p>
      <w:pPr>
        <w:pStyle w:val="Normal"/>
        <w:tabs>
          <w:tab w:val="clear" w:pos="708"/>
          <w:tab w:val="left" w:pos="284" w:leader="none"/>
        </w:tabs>
        <w:spacing w:before="0" w:after="120"/>
        <w:jc w:val="both"/>
        <w:rPr>
          <w:rFonts w:ascii="Arial" w:hAnsi="Arial" w:cs="Arial"/>
          <w:sz w:val="22"/>
          <w:szCs w:val="22"/>
        </w:rPr>
      </w:pPr>
      <w:r>
        <w:rPr>
          <w:rFonts w:cs="Arial" w:ascii="Arial" w:hAnsi="Arial"/>
          <w:sz w:val="22"/>
          <w:szCs w:val="22"/>
        </w:rPr>
        <w:t xml:space="preserve">4) Informace o konkrétním termínu konání akcí uvedených v odst. 3 tohoto článku obecně závazné vyhlášky bude zveřejněna obecním úřadem na úřední desce minimálně 5 dnů </w:t>
        <w:br/>
        <w:t xml:space="preserve">před datem konání. </w:t>
      </w:r>
    </w:p>
    <w:p>
      <w:pPr>
        <w:pStyle w:val="Normal"/>
        <w:jc w:val="center"/>
        <w:rPr>
          <w:rFonts w:ascii="Arial" w:hAnsi="Arial" w:cs="Arial"/>
          <w:b/>
          <w:sz w:val="22"/>
          <w:szCs w:val="22"/>
        </w:rPr>
      </w:pPr>
      <w:r>
        <w:rPr>
          <w:rFonts w:cs="Arial" w:ascii="Arial" w:hAnsi="Arial"/>
          <w:b/>
          <w:sz w:val="22"/>
          <w:szCs w:val="22"/>
        </w:rPr>
        <w:t>Čl. 4</w:t>
      </w:r>
    </w:p>
    <w:p>
      <w:pPr>
        <w:pStyle w:val="Normal"/>
        <w:jc w:val="center"/>
        <w:rPr>
          <w:rFonts w:ascii="Arial" w:hAnsi="Arial" w:cs="Arial"/>
          <w:b/>
          <w:sz w:val="22"/>
          <w:szCs w:val="22"/>
        </w:rPr>
      </w:pPr>
      <w:r>
        <w:rPr>
          <w:rFonts w:cs="Arial" w:ascii="Arial" w:hAnsi="Arial"/>
          <w:b/>
          <w:sz w:val="22"/>
          <w:szCs w:val="22"/>
        </w:rPr>
        <w:t>Zrušovací ustanovení</w:t>
      </w:r>
    </w:p>
    <w:p>
      <w:pPr>
        <w:pStyle w:val="Normal"/>
        <w:ind w:left="360" w:hanging="0"/>
        <w:jc w:val="center"/>
        <w:rPr>
          <w:rFonts w:ascii="Arial" w:hAnsi="Arial" w:cs="Arial"/>
          <w:b/>
          <w:sz w:val="22"/>
          <w:szCs w:val="22"/>
          <w:u w:val="single"/>
        </w:rPr>
      </w:pPr>
      <w:r>
        <w:rPr>
          <w:rFonts w:cs="Arial" w:ascii="Arial" w:hAnsi="Arial"/>
          <w:b/>
          <w:sz w:val="22"/>
          <w:szCs w:val="22"/>
          <w:u w:val="single"/>
        </w:rPr>
      </w:r>
    </w:p>
    <w:p>
      <w:pPr>
        <w:pStyle w:val="Normal"/>
        <w:spacing w:lineRule="auto" w:line="288" w:before="120" w:after="0"/>
        <w:jc w:val="both"/>
        <w:rPr>
          <w:rFonts w:ascii="Arial" w:hAnsi="Arial" w:cs="Arial"/>
        </w:rPr>
      </w:pPr>
      <w:bookmarkStart w:id="0" w:name="_Hlk54595723"/>
      <w:r>
        <w:rPr>
          <w:rFonts w:cs="Arial" w:ascii="Arial" w:hAnsi="Arial"/>
          <w:sz w:val="22"/>
          <w:szCs w:val="22"/>
        </w:rPr>
        <w:t xml:space="preserve">Zrušuje se obecně závazná vyhláška </w:t>
      </w:r>
      <w:bookmarkEnd w:id="0"/>
      <w:r>
        <w:rPr>
          <w:rFonts w:cs="Arial" w:ascii="Arial" w:hAnsi="Arial"/>
          <w:sz w:val="22"/>
          <w:szCs w:val="22"/>
        </w:rPr>
        <w:t>č. 1/2016 o nočním klidu ze dne 11. 10. 2016.</w:t>
      </w:r>
    </w:p>
    <w:p>
      <w:pPr>
        <w:pStyle w:val="Normal"/>
        <w:tabs>
          <w:tab w:val="clear" w:pos="708"/>
          <w:tab w:val="left" w:pos="284" w:leader="none"/>
        </w:tabs>
        <w:spacing w:before="0" w:after="120"/>
        <w:rPr>
          <w:rFonts w:ascii="Arial" w:hAnsi="Arial" w:cs="Arial"/>
          <w:i/>
          <w:i/>
          <w:color w:val="FF0000"/>
          <w:sz w:val="22"/>
          <w:szCs w:val="22"/>
        </w:rPr>
      </w:pPr>
      <w:r>
        <w:rPr>
          <w:rFonts w:cs="Arial" w:ascii="Arial" w:hAnsi="Arial"/>
          <w:i/>
          <w:color w:val="FF0000"/>
          <w:sz w:val="22"/>
          <w:szCs w:val="22"/>
        </w:rPr>
      </w:r>
    </w:p>
    <w:p>
      <w:pPr>
        <w:pStyle w:val="Normal"/>
        <w:jc w:val="center"/>
        <w:rPr>
          <w:rFonts w:ascii="Arial" w:hAnsi="Arial" w:cs="Arial"/>
          <w:b/>
          <w:sz w:val="22"/>
          <w:szCs w:val="22"/>
        </w:rPr>
      </w:pPr>
      <w:r>
        <w:rPr>
          <w:rFonts w:cs="Arial" w:ascii="Arial" w:hAnsi="Arial"/>
          <w:b/>
          <w:sz w:val="22"/>
          <w:szCs w:val="22"/>
        </w:rPr>
        <w:t>Čl. 5</w:t>
      </w:r>
    </w:p>
    <w:p>
      <w:pPr>
        <w:pStyle w:val="Normal"/>
        <w:jc w:val="center"/>
        <w:rPr>
          <w:rFonts w:ascii="Arial" w:hAnsi="Arial" w:cs="Arial"/>
          <w:b/>
          <w:sz w:val="22"/>
          <w:szCs w:val="22"/>
        </w:rPr>
      </w:pPr>
      <w:r>
        <w:rPr>
          <w:rFonts w:cs="Arial" w:ascii="Arial" w:hAnsi="Arial"/>
          <w:b/>
          <w:sz w:val="22"/>
          <w:szCs w:val="22"/>
        </w:rPr>
        <w:t>Účinnost</w:t>
      </w:r>
    </w:p>
    <w:p>
      <w:pPr>
        <w:pStyle w:val="Normal"/>
        <w:jc w:val="center"/>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ab/>
        <w:t>Mgr. Lucie Přikrylová, v r.</w:t>
        <w:tab/>
        <w:tab/>
        <w:t>Petr Niessner, v. r.</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w:t>
        <w:tab/>
        <w:tab/>
        <w:t>starosta</w:t>
      </w:r>
    </w:p>
    <w:p>
      <w:pPr>
        <w:pStyle w:val="Normal"/>
        <w:spacing w:before="0" w:after="120"/>
        <w:rPr>
          <w:rFonts w:ascii="Arial" w:hAnsi="Arial" w:cs="Arial"/>
          <w:sz w:val="22"/>
          <w:szCs w:val="22"/>
        </w:rPr>
      </w:pPr>
      <w:r>
        <w:rPr>
          <w:rFonts w:cs="Arial" w:ascii="Arial" w:hAnsi="Arial"/>
          <w:sz w:val="22"/>
          <w:szCs w:val="22"/>
        </w:rPr>
      </w:r>
    </w:p>
    <w:sectPr>
      <w:footnotePr>
        <w:numFmt w:val="decimal"/>
      </w:footnotePr>
      <w:type w:val="nextPage"/>
      <w:pgSz w:w="11906" w:h="16838"/>
      <w:pgMar w:left="1417" w:right="141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Liberation Sans">
    <w:altName w:val="Arial"/>
    <w:charset w:val="ee"/>
    <w:family w:val="swiss"/>
    <w:pitch w:val="variable"/>
  </w:font>
  <w:font w:name="Tahoma">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rFonts w:ascii="Arial" w:hAnsi="Arial" w:cs="Arial"/>
          <w:i/>
          <w:i/>
        </w:rPr>
      </w:pPr>
      <w:r>
        <w:rPr>
          <w:rFonts w:cs="Arial" w:ascii="Arial" w:hAnsi="Arial"/>
          <w:i/>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cs-CZ" w:bidi="ar-SA" w:eastAsia="zh-CN"/>
    </w:rPr>
  </w:style>
  <w:style w:type="paragraph" w:styleId="Nadpis2">
    <w:name w:val="Heading 2"/>
    <w:basedOn w:val="Normal"/>
    <w:next w:val="Normal"/>
    <w:qFormat/>
    <w:pPr>
      <w:keepNext w:val="true"/>
      <w:numPr>
        <w:ilvl w:val="1"/>
        <w:numId w:val="1"/>
      </w:numPr>
      <w:jc w:val="both"/>
      <w:outlineLvl w:val="1"/>
    </w:pPr>
    <w:rPr>
      <w:szCs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Standardnpsmoodstavce">
    <w:name w:val="Standardní písmo odstavce"/>
    <w:qFormat/>
    <w:rPr/>
  </w:style>
  <w:style w:type="character" w:styleId="Znakypropoznmkupodarou">
    <w:name w:val="Znaky pro poznámku pod čarou"/>
    <w:qFormat/>
    <w:rPr>
      <w:vertAlign w:val="superscript"/>
    </w:rPr>
  </w:style>
  <w:style w:type="character" w:styleId="Odkaznakoment">
    <w:name w:val="Odkaz na komentář"/>
    <w:qFormat/>
    <w:rPr>
      <w:sz w:val="16"/>
      <w:szCs w:val="16"/>
    </w:rPr>
  </w:style>
  <w:style w:type="character" w:styleId="ZkladntextChar">
    <w:name w:val="Základní text Char"/>
    <w:qFormat/>
    <w:rPr>
      <w:sz w:val="24"/>
    </w:rPr>
  </w:style>
  <w:style w:type="character" w:styleId="TextpoznpodarouChar">
    <w:name w:val="Text pozn. pod čarou Char"/>
    <w:qFormat/>
    <w:rPr>
      <w:lang w:val="cs-CZ" w:eastAsia="cs-CZ"/>
    </w:rPr>
  </w:style>
  <w:style w:type="character" w:styleId="TextChar">
    <w:name w:val="Text Char"/>
    <w:qFormat/>
    <w:rPr>
      <w:rFonts w:ascii="Arial" w:hAnsi="Arial" w:cs="Arial"/>
      <w:sz w:val="24"/>
      <w:szCs w:val="24"/>
    </w:rPr>
  </w:style>
  <w:style w:type="character" w:styleId="Internetovodkaz">
    <w:name w:val="Hyperlink"/>
    <w:rPr>
      <w:color w:val="0563C1"/>
      <w:u w:val="single"/>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pPr>
      <w:ind w:left="708" w:firstLine="357"/>
      <w:jc w:val="both"/>
    </w:pPr>
    <w:rPr>
      <w:szCs w:val="20"/>
    </w:rPr>
  </w:style>
  <w:style w:type="paragraph" w:styleId="Zkladntextodsazen2">
    <w:name w:val="Základní text odsazený 2"/>
    <w:basedOn w:val="Normal"/>
    <w:qFormat/>
    <w:pPr>
      <w:ind w:left="708" w:firstLine="360"/>
      <w:jc w:val="both"/>
    </w:pPr>
    <w:rPr>
      <w:bCs/>
      <w:szCs w:val="20"/>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rPr>
      <w:szCs w:val="20"/>
    </w:rPr>
  </w:style>
  <w:style w:type="paragraph" w:styleId="Poznmkapodarou">
    <w:name w:val="Footnote Text"/>
    <w:basedOn w:val="Normal"/>
    <w:pPr/>
    <w:rPr>
      <w:sz w:val="20"/>
      <w:szCs w:val="20"/>
      <w:lang w:val="cs-CZ" w:eastAsia="cs-CZ"/>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Textkomente">
    <w:name w:val="Text komentáře"/>
    <w:basedOn w:val="Normal"/>
    <w:qFormat/>
    <w:pPr/>
    <w:rPr>
      <w:sz w:val="20"/>
      <w:szCs w:val="20"/>
    </w:rPr>
  </w:style>
  <w:style w:type="paragraph" w:styleId="Zkladntextodsazen3">
    <w:name w:val="Základní text odsazený 3"/>
    <w:basedOn w:val="Normal"/>
    <w:qFormat/>
    <w:pPr>
      <w:widowControl w:val="false"/>
      <w:ind w:left="540" w:hanging="540"/>
      <w:jc w:val="both"/>
    </w:pPr>
    <w:rPr>
      <w:bCs/>
    </w:rPr>
  </w:style>
  <w:style w:type="paragraph" w:styleId="Textbubliny">
    <w:name w:val="Text bubliny"/>
    <w:basedOn w:val="Normal"/>
    <w:qFormat/>
    <w:pPr/>
    <w:rPr>
      <w:rFonts w:ascii="Tahoma" w:hAnsi="Tahoma" w:cs="Tahoma"/>
      <w:sz w:val="16"/>
      <w:szCs w:val="16"/>
    </w:rPr>
  </w:style>
  <w:style w:type="paragraph" w:styleId="Odstavecseseznamem">
    <w:name w:val="Odstavec se seznamem"/>
    <w:basedOn w:val="Normal"/>
    <w:qFormat/>
    <w:pPr>
      <w:spacing w:before="0" w:after="0"/>
      <w:ind w:left="720" w:hanging="0"/>
      <w:contextualSpacing/>
    </w:pPr>
    <w:rPr/>
  </w:style>
  <w:style w:type="paragraph" w:styleId="Text">
    <w:name w:val="Text"/>
    <w:basedOn w:val="Normal"/>
    <w:qFormat/>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u.hnevotin@volny.cz"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LibreOffice/7.5.0.3$Windows_X86_64 LibreOffice_project/c21113d003cd3efa8c53188764377a8272d9d6de</Application>
  <AppVersion>15.0000</AppVersion>
  <Pages>2</Pages>
  <Words>423</Words>
  <Characters>2270</Characters>
  <CharactersWithSpaces>2671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2023-05-04T10:44:00Z</dcterms:created>
  <dc:creator>DA210036</dc:creator>
  <dc:description/>
  <cp:keywords/>
  <dc:language>cs-CZ</dc:language>
  <cp:lastModifiedBy>Aneta Glogarová</cp:lastModifiedBy>
  <cp:lastPrinted>2007-03-05T11:30:00Z</cp:lastPrinted>
  <dcterms:modified xsi:type="dcterms:W3CDTF">2023-05-04T10:44:00Z</dcterms:modified>
  <cp:revision>2</cp:revision>
  <dc:subject/>
  <dc:title>Vzor obecně závazné vyhlášky obce o stanovení systému shromažďování, sběru, přepravy, třídění, využívání a odstraňování komuná</dc:title>
</cp:coreProperties>
</file>